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141DADAA"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3GPP TSG RAN</w:t>
      </w:r>
      <w:r w:rsidRPr="001F1128">
        <w:rPr>
          <w:rFonts w:cs="Arial"/>
          <w:color w:val="000000"/>
          <w:sz w:val="24"/>
          <w:szCs w:val="24"/>
          <w:shd w:val="clear" w:color="auto" w:fill="FFFFFF"/>
          <w:lang w:val="en-US"/>
        </w:rPr>
        <w:t>#</w:t>
      </w:r>
      <w:r w:rsidR="001F1128" w:rsidRPr="001F1128">
        <w:rPr>
          <w:rFonts w:cs="Arial"/>
          <w:color w:val="000000"/>
          <w:sz w:val="24"/>
          <w:szCs w:val="24"/>
          <w:shd w:val="clear" w:color="auto" w:fill="FFFFFF"/>
          <w:lang w:val="en-US"/>
        </w:rPr>
        <w:t>89</w:t>
      </w:r>
      <w:r w:rsidR="00A9335C" w:rsidRPr="001F1128">
        <w:rPr>
          <w:rFonts w:eastAsia="MS Mincho" w:cs="Arial"/>
          <w:kern w:val="0"/>
          <w:sz w:val="24"/>
          <w:szCs w:val="24"/>
          <w:lang w:val="en-US" w:eastAsia="en-US"/>
        </w:rPr>
        <w:tab/>
      </w:r>
      <w:r w:rsidR="00F165EE">
        <w:rPr>
          <w:rFonts w:eastAsia="MS Mincho" w:cs="Arial"/>
          <w:kern w:val="0"/>
          <w:sz w:val="24"/>
          <w:szCs w:val="24"/>
          <w:lang w:val="en-US" w:eastAsia="en-US"/>
        </w:rPr>
        <w:t>R1-1706894</w:t>
      </w:r>
    </w:p>
    <w:p w14:paraId="33F242EA" w14:textId="77777777" w:rsidR="001F1128" w:rsidRPr="00D0025C" w:rsidRDefault="001F1128" w:rsidP="001F1128">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15</w:t>
      </w:r>
      <w:r w:rsidRPr="005562C3">
        <w:rPr>
          <w:rFonts w:eastAsia="MS Mincho" w:cs="Arial"/>
          <w:kern w:val="0"/>
          <w:sz w:val="24"/>
          <w:szCs w:val="24"/>
          <w:vertAlign w:val="superscript"/>
          <w:lang w:eastAsia="en-US"/>
        </w:rPr>
        <w:t>th</w:t>
      </w:r>
      <w:r>
        <w:rPr>
          <w:rFonts w:eastAsia="MS Mincho" w:cs="Arial"/>
          <w:kern w:val="0"/>
          <w:sz w:val="24"/>
          <w:szCs w:val="24"/>
          <w:lang w:eastAsia="en-US"/>
        </w:rPr>
        <w:t xml:space="preserve"> – 19</w:t>
      </w:r>
      <w:r w:rsidRPr="005562C3">
        <w:rPr>
          <w:rFonts w:eastAsia="MS Mincho" w:cs="Arial"/>
          <w:kern w:val="0"/>
          <w:sz w:val="24"/>
          <w:szCs w:val="24"/>
          <w:vertAlign w:val="superscript"/>
          <w:lang w:eastAsia="en-US"/>
        </w:rPr>
        <w:t>th</w:t>
      </w:r>
      <w:r w:rsidRPr="00D0025C">
        <w:rPr>
          <w:rFonts w:eastAsia="MS Mincho" w:cs="Arial"/>
          <w:kern w:val="0"/>
          <w:sz w:val="24"/>
          <w:szCs w:val="24"/>
          <w:lang w:eastAsia="en-US"/>
        </w:rPr>
        <w:t xml:space="preserve"> </w:t>
      </w:r>
      <w:r>
        <w:rPr>
          <w:rFonts w:eastAsia="MS Mincho" w:cs="Arial"/>
          <w:kern w:val="0"/>
          <w:sz w:val="24"/>
          <w:szCs w:val="24"/>
          <w:lang w:eastAsia="en-US"/>
        </w:rPr>
        <w:t>May</w:t>
      </w:r>
      <w:r w:rsidRPr="00D0025C">
        <w:rPr>
          <w:rFonts w:eastAsia="MS Mincho" w:cs="Arial"/>
          <w:kern w:val="0"/>
          <w:sz w:val="24"/>
          <w:szCs w:val="24"/>
          <w:lang w:eastAsia="en-US"/>
        </w:rPr>
        <w:t xml:space="preserve"> 201</w:t>
      </w:r>
      <w:r>
        <w:rPr>
          <w:rFonts w:eastAsia="MS Mincho" w:cs="Arial"/>
          <w:kern w:val="0"/>
          <w:sz w:val="24"/>
          <w:szCs w:val="24"/>
          <w:lang w:eastAsia="en-US"/>
        </w:rPr>
        <w:t>7</w:t>
      </w:r>
    </w:p>
    <w:p w14:paraId="6FFDE392" w14:textId="77777777" w:rsidR="001F1128" w:rsidRPr="00D0025C" w:rsidRDefault="001F1128" w:rsidP="001F1128">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Hangzhou, China</w:t>
      </w:r>
    </w:p>
    <w:p w14:paraId="3CDAFA8C" w14:textId="77777777" w:rsidR="00D0025C" w:rsidRPr="00D0025C" w:rsidRDefault="00D0025C" w:rsidP="00D0025C">
      <w:pPr>
        <w:pStyle w:val="3GPPHeader"/>
        <w:spacing w:after="120"/>
        <w:rPr>
          <w:rFonts w:ascii="Arial" w:hAnsi="Arial" w:cs="Arial"/>
          <w:sz w:val="22"/>
        </w:rPr>
      </w:pPr>
    </w:p>
    <w:p w14:paraId="37CAA1D4" w14:textId="5DBA3319"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F165EE">
        <w:rPr>
          <w:rFonts w:ascii="Arial" w:hAnsi="Arial" w:cs="Arial"/>
          <w:b w:val="0"/>
          <w:bCs/>
          <w:sz w:val="22"/>
        </w:rPr>
        <w:t>6.2.7.5</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113EA35B"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F165EE" w:rsidRPr="00F165EE">
        <w:rPr>
          <w:rFonts w:ascii="Arial" w:hAnsi="Arial" w:cs="Arial"/>
          <w:b w:val="0"/>
          <w:bCs/>
          <w:sz w:val="22"/>
        </w:rPr>
        <w:t>Reduced system acquisition time for NB-IoT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62866BEF" w14:textId="59244DC5" w:rsidR="00A11925" w:rsidRDefault="00514643" w:rsidP="00A11925">
      <w:pPr>
        <w:pStyle w:val="BodyText"/>
        <w:rPr>
          <w:rFonts w:cs="Arial"/>
        </w:rPr>
      </w:pPr>
      <w:r>
        <w:t xml:space="preserve">In Rel-15, a work item (WI) for enhancement of NB-IoT is agreed. The objective is to further enhance the performance of NB-IoT by further reduction of latency and power consumption, improvement of measurement accuracy, enhancement of NPRACH reliability and range, </w:t>
      </w:r>
      <w:r w:rsidR="000A1844">
        <w:t>reducing</w:t>
      </w:r>
      <w:r w:rsidR="000A1844" w:rsidRPr="000A1844">
        <w:t xml:space="preserve"> system acquisition time </w:t>
      </w:r>
      <w:r>
        <w:t xml:space="preserve">etc. </w:t>
      </w:r>
      <w:r>
        <w:fldChar w:fldCharType="begin"/>
      </w:r>
      <w:r>
        <w:instrText xml:space="preserve"> REF _Ref462665614 \n \h </w:instrText>
      </w:r>
      <w:r>
        <w:fldChar w:fldCharType="separate"/>
      </w:r>
      <w:r w:rsidR="00030434">
        <w:t>[1]</w:t>
      </w:r>
      <w:r>
        <w:fldChar w:fldCharType="end"/>
      </w:r>
      <w:r>
        <w:t xml:space="preserve">. </w:t>
      </w:r>
      <w:r>
        <w:rPr>
          <w:rFonts w:cs="Arial"/>
        </w:rPr>
        <w:t xml:space="preserve">By </w:t>
      </w:r>
      <w:r w:rsidR="000A1844">
        <w:t xml:space="preserve">reducing system acquisition time, </w:t>
      </w:r>
      <w:r>
        <w:rPr>
          <w:rFonts w:cs="Arial"/>
        </w:rPr>
        <w:t xml:space="preserve">latency and </w:t>
      </w:r>
      <w:r w:rsidR="000A1844">
        <w:rPr>
          <w:rFonts w:cs="Arial"/>
        </w:rPr>
        <w:t>efficiency of</w:t>
      </w:r>
      <w:r>
        <w:rPr>
          <w:rFonts w:cs="Arial"/>
        </w:rPr>
        <w:t xml:space="preserve"> NB-IoT </w:t>
      </w:r>
      <w:r w:rsidR="000A1844">
        <w:rPr>
          <w:rFonts w:cs="Arial"/>
        </w:rPr>
        <w:t>can be further improved</w:t>
      </w:r>
      <w:r>
        <w:rPr>
          <w:rFonts w:cs="Arial"/>
        </w:rPr>
        <w:t xml:space="preserve">. </w:t>
      </w:r>
    </w:p>
    <w:p w14:paraId="6FB3C3B8" w14:textId="5E85BD4E" w:rsidR="00AC5266" w:rsidRDefault="00A11925" w:rsidP="00AC5266">
      <w:pPr>
        <w:pStyle w:val="BodyText"/>
        <w:rPr>
          <w:rFonts w:cs="Arial"/>
        </w:rPr>
      </w:pPr>
      <w:r>
        <w:rPr>
          <w:rFonts w:cs="Arial"/>
        </w:rPr>
        <w:t xml:space="preserve">In RAN1#88bis meeting, regarding </w:t>
      </w:r>
      <w:r w:rsidR="006D10B4">
        <w:rPr>
          <w:rFonts w:cs="Arial"/>
        </w:rPr>
        <w:t xml:space="preserve">system acquisition time reduction, </w:t>
      </w:r>
      <w:r w:rsidR="00AC5266">
        <w:rPr>
          <w:rFonts w:cs="Arial"/>
        </w:rPr>
        <w:t xml:space="preserve">it was agreed that </w:t>
      </w:r>
      <w:r w:rsidR="00AC5266" w:rsidRPr="00AC5266">
        <w:rPr>
          <w:rFonts w:cs="Arial"/>
        </w:rPr>
        <w:t>at least the following candidates can be considered</w:t>
      </w:r>
      <w:r w:rsidR="00AC5266">
        <w:rPr>
          <w:rFonts w:cs="Arial"/>
        </w:rPr>
        <w:t>.</w:t>
      </w:r>
    </w:p>
    <w:p w14:paraId="027547C5" w14:textId="30D4D31D" w:rsidR="00AC5266" w:rsidRPr="00AC5266" w:rsidRDefault="00AC5266" w:rsidP="00AC5266">
      <w:pPr>
        <w:pStyle w:val="BodyText"/>
        <w:numPr>
          <w:ilvl w:val="0"/>
          <w:numId w:val="36"/>
        </w:numPr>
        <w:rPr>
          <w:rFonts w:cs="Arial"/>
        </w:rPr>
      </w:pPr>
      <w:r w:rsidRPr="00AC5266">
        <w:rPr>
          <w:rFonts w:cs="Arial"/>
        </w:rPr>
        <w:t>Enhancement(s) to NPSS/NSSS</w:t>
      </w:r>
    </w:p>
    <w:p w14:paraId="684EEFE2" w14:textId="77777777" w:rsidR="00AC5266" w:rsidRPr="00AC5266" w:rsidRDefault="00AC5266" w:rsidP="00AC5266">
      <w:pPr>
        <w:pStyle w:val="BodyText"/>
        <w:numPr>
          <w:ilvl w:val="0"/>
          <w:numId w:val="36"/>
        </w:numPr>
        <w:rPr>
          <w:rFonts w:cs="Arial"/>
        </w:rPr>
      </w:pPr>
      <w:r w:rsidRPr="00AC5266">
        <w:rPr>
          <w:rFonts w:cs="Arial"/>
        </w:rPr>
        <w:t xml:space="preserve">Enhancement(s) to MIB-NB </w:t>
      </w:r>
    </w:p>
    <w:p w14:paraId="3755AE76" w14:textId="77777777" w:rsidR="00AC5266" w:rsidRPr="00AC5266" w:rsidRDefault="00AC5266" w:rsidP="00AC5266">
      <w:pPr>
        <w:pStyle w:val="BodyText"/>
        <w:numPr>
          <w:ilvl w:val="0"/>
          <w:numId w:val="36"/>
        </w:numPr>
        <w:rPr>
          <w:rFonts w:cs="Arial"/>
        </w:rPr>
      </w:pPr>
      <w:r w:rsidRPr="00AC5266">
        <w:rPr>
          <w:rFonts w:cs="Arial"/>
        </w:rPr>
        <w:t>SIB1-NB accumulation across multiple SIB1-NB TTIs (with or without specification impact)</w:t>
      </w:r>
    </w:p>
    <w:p w14:paraId="6D12AAEC" w14:textId="77777777" w:rsidR="00AC5266" w:rsidRPr="00AC5266" w:rsidRDefault="00AC5266" w:rsidP="00AC5266">
      <w:pPr>
        <w:pStyle w:val="BodyText"/>
        <w:numPr>
          <w:ilvl w:val="0"/>
          <w:numId w:val="36"/>
        </w:numPr>
        <w:rPr>
          <w:rFonts w:cs="Arial"/>
        </w:rPr>
      </w:pPr>
      <w:r w:rsidRPr="00AC5266">
        <w:rPr>
          <w:rFonts w:cs="Arial"/>
        </w:rPr>
        <w:t>New mechanism allowing to skip SIB1-NB and/or SI messages and/or MIB-NB reading</w:t>
      </w:r>
    </w:p>
    <w:p w14:paraId="00341992" w14:textId="77777777" w:rsidR="00AC5266" w:rsidRPr="00AC5266" w:rsidRDefault="00AC5266" w:rsidP="00AC5266">
      <w:pPr>
        <w:pStyle w:val="BodyText"/>
        <w:numPr>
          <w:ilvl w:val="0"/>
          <w:numId w:val="36"/>
        </w:numPr>
        <w:rPr>
          <w:rFonts w:cs="Arial"/>
        </w:rPr>
      </w:pPr>
      <w:r w:rsidRPr="00AC5266">
        <w:rPr>
          <w:rFonts w:cs="Arial"/>
        </w:rPr>
        <w:t>Additional SIB1-NB is transmitted on other subframes in addition to the existing SIB1-NB transmission</w:t>
      </w:r>
    </w:p>
    <w:p w14:paraId="69C5B700" w14:textId="5A45A455" w:rsidR="00AC5266" w:rsidRPr="00AC5266" w:rsidRDefault="00AC5266" w:rsidP="00AC5266">
      <w:pPr>
        <w:pStyle w:val="BodyText"/>
        <w:numPr>
          <w:ilvl w:val="0"/>
          <w:numId w:val="36"/>
        </w:numPr>
        <w:rPr>
          <w:rFonts w:cs="Arial"/>
        </w:rPr>
      </w:pPr>
      <w:r w:rsidRPr="00AC5266">
        <w:rPr>
          <w:rFonts w:cs="Arial"/>
        </w:rPr>
        <w:t>Use of physical signal/channel in agenda item 7.2.7.1.1 (if introduced)</w:t>
      </w:r>
      <w:r w:rsidR="00561FE2">
        <w:rPr>
          <w:rFonts w:cs="Arial"/>
        </w:rPr>
        <w:t xml:space="preserve">. Note: This is the </w:t>
      </w:r>
      <w:r w:rsidR="00561FE2" w:rsidRPr="00561FE2">
        <w:rPr>
          <w:rFonts w:cs="Arial"/>
          <w:i/>
        </w:rPr>
        <w:t>wake-up</w:t>
      </w:r>
      <w:r w:rsidR="00561FE2">
        <w:rPr>
          <w:rFonts w:cs="Arial"/>
        </w:rPr>
        <w:t xml:space="preserve"> or </w:t>
      </w:r>
      <w:r w:rsidR="00561FE2" w:rsidRPr="00561FE2">
        <w:rPr>
          <w:rFonts w:cs="Arial"/>
          <w:i/>
        </w:rPr>
        <w:t>go-to-sleep</w:t>
      </w:r>
      <w:r w:rsidR="00561FE2">
        <w:rPr>
          <w:rFonts w:cs="Arial"/>
        </w:rPr>
        <w:t xml:space="preserve"> signal being considered.</w:t>
      </w:r>
    </w:p>
    <w:p w14:paraId="610A6759" w14:textId="77777777" w:rsidR="00AC5266" w:rsidRPr="00AC5266" w:rsidRDefault="00AC5266" w:rsidP="00AC5266">
      <w:pPr>
        <w:pStyle w:val="BodyText"/>
        <w:numPr>
          <w:ilvl w:val="0"/>
          <w:numId w:val="36"/>
        </w:numPr>
        <w:rPr>
          <w:rFonts w:cs="Arial"/>
        </w:rPr>
      </w:pPr>
      <w:r w:rsidRPr="00AC5266">
        <w:rPr>
          <w:rFonts w:cs="Arial"/>
        </w:rPr>
        <w:t>FFS on other SIBx-NB</w:t>
      </w:r>
    </w:p>
    <w:p w14:paraId="43621338" w14:textId="77777777" w:rsidR="00AC5266" w:rsidRDefault="00AC5266" w:rsidP="00AC5266">
      <w:pPr>
        <w:pStyle w:val="BodyText"/>
        <w:numPr>
          <w:ilvl w:val="0"/>
          <w:numId w:val="36"/>
        </w:numPr>
        <w:rPr>
          <w:rFonts w:cs="Arial"/>
        </w:rPr>
      </w:pPr>
      <w:r w:rsidRPr="00AC5266">
        <w:rPr>
          <w:rFonts w:cs="Arial"/>
        </w:rPr>
        <w:t>Details of all solutions are FFS</w:t>
      </w:r>
    </w:p>
    <w:p w14:paraId="2DF1D14B" w14:textId="0EDD720C" w:rsidR="002848DE" w:rsidRPr="00AC5266" w:rsidRDefault="00AC5266" w:rsidP="00A11925">
      <w:pPr>
        <w:pStyle w:val="BodyText"/>
        <w:numPr>
          <w:ilvl w:val="0"/>
          <w:numId w:val="36"/>
        </w:numPr>
        <w:rPr>
          <w:rFonts w:cs="Arial"/>
        </w:rPr>
      </w:pPr>
      <w:r w:rsidRPr="00AC5266">
        <w:rPr>
          <w:rFonts w:cs="Arial"/>
        </w:rPr>
        <w:t>Solutions need to be backwards compatible and take care of impacts to Rel-13/Rel-14 networks</w:t>
      </w:r>
      <w:r w:rsidR="00A11925" w:rsidRPr="00AC5266">
        <w:rPr>
          <w:rFonts w:cs="Arial"/>
        </w:rPr>
        <w:t>:</w:t>
      </w:r>
    </w:p>
    <w:p w14:paraId="29F93BA0" w14:textId="32B03FAF" w:rsidR="00514643" w:rsidRPr="00BB22CB" w:rsidRDefault="00514643" w:rsidP="00A11925">
      <w:pPr>
        <w:pStyle w:val="BodyText"/>
        <w:rPr>
          <w:rFonts w:cs="Arial"/>
        </w:rPr>
      </w:pPr>
      <w:r>
        <w:rPr>
          <w:rFonts w:cs="Arial"/>
        </w:rPr>
        <w:t xml:space="preserve">In this contribution, </w:t>
      </w:r>
      <w:r w:rsidR="00AC5266">
        <w:rPr>
          <w:rFonts w:cs="Arial"/>
        </w:rPr>
        <w:t>we discuss</w:t>
      </w:r>
      <w:r w:rsidR="00A11925">
        <w:rPr>
          <w:rFonts w:cs="Arial"/>
        </w:rPr>
        <w:t xml:space="preserve"> </w:t>
      </w:r>
      <w:r w:rsidR="00AC5266">
        <w:rPr>
          <w:rFonts w:cs="Arial"/>
        </w:rPr>
        <w:t>these candidate solutions</w:t>
      </w:r>
      <w:r w:rsidR="00A11925">
        <w:rPr>
          <w:rFonts w:cs="Arial"/>
        </w:rPr>
        <w:t xml:space="preserve">. </w:t>
      </w:r>
    </w:p>
    <w:bookmarkEnd w:id="1"/>
    <w:p w14:paraId="431CCE30" w14:textId="48FA34AE" w:rsidR="00D0025C" w:rsidRDefault="00561FE2" w:rsidP="00040C32">
      <w:pPr>
        <w:pStyle w:val="Heading1"/>
      </w:pPr>
      <w:r>
        <w:t>General discussion</w:t>
      </w:r>
    </w:p>
    <w:p w14:paraId="2E99B295" w14:textId="2AE26219" w:rsidR="00835BD8" w:rsidRPr="00633EFB" w:rsidRDefault="00561FE2" w:rsidP="00633EFB">
      <w:pPr>
        <w:pStyle w:val="BodyText"/>
      </w:pPr>
      <w:r>
        <w:t xml:space="preserve">Among the three NB-IoT deployment modes, the in-band deployment requires </w:t>
      </w:r>
      <w:r w:rsidR="00611383">
        <w:t>longer</w:t>
      </w:r>
      <w:r>
        <w:t xml:space="preserve"> system acquisition time</w:t>
      </w:r>
      <w:r w:rsidR="00835BD8">
        <w:t xml:space="preserve"> due to lower transmit power level and puncturing that may occur on NPSS and NSSS resources. Additionally, in the in-band mode, NPDSCH that carries </w:t>
      </w:r>
      <w:r w:rsidR="00835BD8" w:rsidRPr="00633EFB">
        <w:t>SIB1-NB or SI messages has fewer resource elements in a subframe due to resources taken by LTE CRS or reserved for LTE downlink control region, compared to the standalone and guard-band modes. This results in a higher coding rate and thus a lower coding gain. Thus, improvement for system acquisition time reduction should primarily target the in-band mode.</w:t>
      </w:r>
      <w:r w:rsidR="00611383">
        <w:t xml:space="preserve"> </w:t>
      </w:r>
      <w:r w:rsidR="00611383" w:rsidRPr="00611383">
        <w:t xml:space="preserve">The solutions can reduce the system acquisition time for </w:t>
      </w:r>
      <w:r w:rsidR="00611383">
        <w:t xml:space="preserve">the </w:t>
      </w:r>
      <w:r w:rsidR="00611383" w:rsidRPr="00611383">
        <w:t>in</w:t>
      </w:r>
      <w:r w:rsidR="00611383">
        <w:t>-band mode</w:t>
      </w:r>
      <w:r w:rsidR="00611383" w:rsidRPr="00611383">
        <w:t xml:space="preserve"> can be directly applied to </w:t>
      </w:r>
      <w:r w:rsidR="00611383">
        <w:t xml:space="preserve">the </w:t>
      </w:r>
      <w:r w:rsidR="00611383" w:rsidRPr="00611383">
        <w:t>guard</w:t>
      </w:r>
      <w:r w:rsidR="00611383">
        <w:t>-</w:t>
      </w:r>
      <w:r w:rsidR="00611383" w:rsidRPr="00611383">
        <w:t xml:space="preserve">band and standalone </w:t>
      </w:r>
      <w:r w:rsidR="00611383">
        <w:t>mode</w:t>
      </w:r>
      <w:r w:rsidR="00611383" w:rsidRPr="00611383">
        <w:t>s.</w:t>
      </w:r>
    </w:p>
    <w:p w14:paraId="6CE1BC43" w14:textId="55BC062A" w:rsidR="00835BD8" w:rsidRPr="00633EFB" w:rsidRDefault="00835BD8" w:rsidP="00633EFB">
      <w:pPr>
        <w:spacing w:before="180" w:after="180"/>
        <w:rPr>
          <w:rFonts w:cs="Arial"/>
          <w:b/>
          <w:i/>
        </w:rPr>
      </w:pPr>
      <w:r w:rsidRPr="00633EFB">
        <w:rPr>
          <w:rFonts w:cs="Arial"/>
          <w:b/>
          <w:i/>
        </w:rPr>
        <w:t xml:space="preserve">Observation 1: </w:t>
      </w:r>
      <w:r w:rsidR="00611383">
        <w:rPr>
          <w:rFonts w:cs="Arial"/>
          <w:b/>
          <w:i/>
        </w:rPr>
        <w:t>I</w:t>
      </w:r>
      <w:r w:rsidR="00611383" w:rsidRPr="00611383">
        <w:rPr>
          <w:rFonts w:cs="Arial"/>
          <w:b/>
          <w:i/>
        </w:rPr>
        <w:t>mprovement for system acquisition time reduction should primarily target the in-band mode. The solutions can reduce the system acquisition time for the in-band mode can be directly applied to the guard-band and standalone modes.</w:t>
      </w:r>
    </w:p>
    <w:p w14:paraId="167B00ED" w14:textId="0DDDA5F8" w:rsidR="00835BD8" w:rsidRDefault="00835BD8" w:rsidP="00633EFB">
      <w:pPr>
        <w:pStyle w:val="BodyText"/>
      </w:pPr>
      <w:r>
        <w:t xml:space="preserve">The process of system acquisition </w:t>
      </w:r>
      <w:r w:rsidR="00042F9B">
        <w:t xml:space="preserve">after the UE wakes up from deep </w:t>
      </w:r>
      <w:r>
        <w:t>sleep includes the following steps.</w:t>
      </w:r>
    </w:p>
    <w:p w14:paraId="343723BE" w14:textId="7447EF82" w:rsidR="00835BD8" w:rsidRDefault="00835BD8" w:rsidP="008227C8">
      <w:pPr>
        <w:pStyle w:val="BodyText"/>
        <w:numPr>
          <w:ilvl w:val="0"/>
          <w:numId w:val="41"/>
        </w:numPr>
      </w:pPr>
      <w:r>
        <w:t>Synchronize to NPSS</w:t>
      </w:r>
    </w:p>
    <w:p w14:paraId="06BC5015" w14:textId="34DA80EE" w:rsidR="00835BD8" w:rsidRDefault="00835BD8" w:rsidP="008227C8">
      <w:pPr>
        <w:pStyle w:val="BodyText"/>
        <w:numPr>
          <w:ilvl w:val="0"/>
          <w:numId w:val="41"/>
        </w:numPr>
      </w:pPr>
      <w:r>
        <w:t>Synchronize to NSSS</w:t>
      </w:r>
    </w:p>
    <w:p w14:paraId="0B488481" w14:textId="6306D94D" w:rsidR="00516E84" w:rsidRDefault="00835BD8" w:rsidP="009850C2">
      <w:pPr>
        <w:pStyle w:val="BodyText"/>
        <w:numPr>
          <w:ilvl w:val="0"/>
          <w:numId w:val="41"/>
        </w:numPr>
      </w:pPr>
      <w:r>
        <w:lastRenderedPageBreak/>
        <w:t>Acquire MIB-NB th</w:t>
      </w:r>
      <w:r w:rsidR="00516E84">
        <w:t>r</w:t>
      </w:r>
      <w:r>
        <w:t xml:space="preserve">ough receiving NPBCH. The UE can check </w:t>
      </w:r>
      <w:r w:rsidR="00766DE5">
        <w:t xml:space="preserve">the </w:t>
      </w:r>
      <w:r w:rsidR="00766DE5" w:rsidRPr="00633EFB">
        <w:t>system information</w:t>
      </w:r>
      <w:r w:rsidR="00766DE5">
        <w:t xml:space="preserve"> (SI) value tag </w:t>
      </w:r>
      <w:r w:rsidR="00D01C7F">
        <w:t xml:space="preserve">and </w:t>
      </w:r>
      <w:r w:rsidR="00D01C7F" w:rsidRPr="00633EFB">
        <w:t>access barring</w:t>
      </w:r>
      <w:r w:rsidR="00D01C7F">
        <w:t xml:space="preserve"> (AB) flag </w:t>
      </w:r>
      <w:r w:rsidR="00766DE5">
        <w:t>in MIB-NB</w:t>
      </w:r>
      <w:r w:rsidR="00D01C7F">
        <w:t xml:space="preserve">. If the SI value tag hasn’t changed and </w:t>
      </w:r>
      <w:r w:rsidR="00AD61CE">
        <w:t xml:space="preserve">AB flag is </w:t>
      </w:r>
      <w:r w:rsidR="00BC0CD5">
        <w:t>not enabled</w:t>
      </w:r>
      <w:r w:rsidR="00AD61CE">
        <w:t>, the UE has completed the system acquisition process.</w:t>
      </w:r>
    </w:p>
    <w:p w14:paraId="093FFB99" w14:textId="77777777" w:rsidR="00516E84" w:rsidRDefault="00516E84" w:rsidP="00633EFB">
      <w:pPr>
        <w:pStyle w:val="BodyText"/>
      </w:pPr>
    </w:p>
    <w:p w14:paraId="3D910832" w14:textId="708955F1" w:rsidR="00835BD8" w:rsidRDefault="00516E84" w:rsidP="00633EFB">
      <w:pPr>
        <w:pStyle w:val="BodyText"/>
      </w:pPr>
      <w:r>
        <w:t xml:space="preserve">Since MIB-NB and SI </w:t>
      </w:r>
      <w:r w:rsidR="00BC0CD5">
        <w:t>are</w:t>
      </w:r>
      <w:r>
        <w:t xml:space="preserve"> rarely changed (except for SIB-14 and SIB-16)</w:t>
      </w:r>
      <w:r w:rsidR="00BC0CD5">
        <w:t>,</w:t>
      </w:r>
      <w:r w:rsidR="003B70D0">
        <w:t xml:space="preserve"> and although the AB flag can toggle more dynamically it is set </w:t>
      </w:r>
      <w:r w:rsidR="003B70D0" w:rsidRPr="00633EFB">
        <w:t>false</w:t>
      </w:r>
      <w:r w:rsidR="00042F9B">
        <w:t xml:space="preserve"> much more often than set </w:t>
      </w:r>
      <w:r w:rsidR="00042F9B" w:rsidRPr="00633EFB">
        <w:t>true</w:t>
      </w:r>
      <w:r w:rsidR="00042F9B">
        <w:t>,</w:t>
      </w:r>
      <w:r w:rsidR="003B70D0">
        <w:t xml:space="preserve"> in</w:t>
      </w:r>
      <w:r>
        <w:t xml:space="preserve"> most cases the </w:t>
      </w:r>
      <w:r w:rsidR="003B70D0">
        <w:t xml:space="preserve">UE only needs to go through these </w:t>
      </w:r>
      <w:r w:rsidR="00042F9B">
        <w:t xml:space="preserve">three </w:t>
      </w:r>
      <w:r w:rsidR="003B70D0">
        <w:t>steps in most cases</w:t>
      </w:r>
      <w:r w:rsidR="00042F9B">
        <w:t xml:space="preserve"> after it wakes up from deep sleep</w:t>
      </w:r>
      <w:r w:rsidR="003B70D0">
        <w:t>.</w:t>
      </w:r>
      <w:r w:rsidR="00042F9B">
        <w:t xml:space="preserve"> </w:t>
      </w:r>
      <w:r>
        <w:t>One possible remaining uncertainty is the hyper-SFN (H-SFN) number. Although MIB-NB contains the two LSBs of H-SFN, a complete H-SFN is acquired only when SIB1-NB is acquired.</w:t>
      </w:r>
      <w:r w:rsidR="00042F9B">
        <w:t xml:space="preserve"> Consider the frequency error of 20 ppm when the UE is in deep sleep, it will take 50,000 SFN cycles in sleep for the UE clock to drift by one SFN cycle</w:t>
      </w:r>
      <w:r w:rsidR="005819F1">
        <w:t xml:space="preserve"> (i.e. 1024 SFNs or 1 H-SFN)</w:t>
      </w:r>
      <w:r w:rsidR="00042F9B">
        <w:t>, or equivalently 200,000 SFN cycles in sleep for the UE clock to drift by 4 SFN cycles</w:t>
      </w:r>
      <w:r w:rsidR="005819F1">
        <w:t xml:space="preserve"> (i.e. 4 H-SFNs)</w:t>
      </w:r>
      <w:r w:rsidR="00042F9B">
        <w:t xml:space="preserve">. If the drift is more than 4 SFN cycles, the UE needs to acquire more than the two LSBs of H-SFN and therefore needs to acquire SIB1-NB. However, 200,000 SFN cycles is approximately </w:t>
      </w:r>
      <w:r w:rsidR="00B81344">
        <w:t>23.7 days. If</w:t>
      </w:r>
      <w:r w:rsidR="00042F9B">
        <w:t xml:space="preserve"> latency is important for any of the use cases that the UE support</w:t>
      </w:r>
      <w:r w:rsidR="00B81344">
        <w:t>s</w:t>
      </w:r>
      <w:r w:rsidR="00042F9B">
        <w:t xml:space="preserve">, </w:t>
      </w:r>
      <w:r w:rsidR="00B81344">
        <w:t xml:space="preserve">to avoid needing to acquire SIB1-NB only for the sake of resolving timing uncertainty, the UE should be configured for PSM with TAU interval set for less than 23.7 days. Thus, the focus of Rel-15 should be on improving the acquisition of NPSS, NSSS, and NPBCH. Among these three steps, acquisition of NSSS is the easiest. </w:t>
      </w:r>
      <w:r w:rsidR="00BE0C91">
        <w:t>Between NPSS and NPBCH, NPBCH is relatively more straightforward and has less impact on UE complexity and backward compatibility. We propose that Rel-15 should first focus on improving NPBCH performance.</w:t>
      </w:r>
    </w:p>
    <w:p w14:paraId="74A18046" w14:textId="78700A2F" w:rsidR="00BE0C91" w:rsidRPr="00633EFB" w:rsidRDefault="00BE0C91" w:rsidP="00BE0C91">
      <w:pPr>
        <w:rPr>
          <w:b/>
          <w:i/>
        </w:rPr>
      </w:pPr>
      <w:r w:rsidRPr="00633EFB">
        <w:rPr>
          <w:b/>
          <w:i/>
        </w:rPr>
        <w:t>Proposal 1: Rel-15 should first focus on improving NPBCH performance.</w:t>
      </w:r>
    </w:p>
    <w:p w14:paraId="4A7480A3" w14:textId="38EE5518" w:rsidR="00BE0C91" w:rsidRPr="00BE0C91" w:rsidRDefault="00BE0C91" w:rsidP="00633EFB">
      <w:pPr>
        <w:pStyle w:val="BodyText"/>
      </w:pPr>
      <w:r>
        <w:t xml:space="preserve">For in-band deployment, the </w:t>
      </w:r>
      <w:r w:rsidR="00CD6908">
        <w:t xml:space="preserve">total overhead on a </w:t>
      </w:r>
      <w:r w:rsidRPr="00BE0C91">
        <w:t>Rel-13 NB-IoT anchor carrier</w:t>
      </w:r>
      <w:r w:rsidR="00CD6908">
        <w:t xml:space="preserve"> can be very high</w:t>
      </w:r>
      <w:r w:rsidRPr="00BE0C91">
        <w:t>,</w:t>
      </w:r>
      <w:r w:rsidR="00CD6908">
        <w:t xml:space="preserve"> as illustrated in </w:t>
      </w:r>
      <w:r w:rsidR="00E86724">
        <w:t xml:space="preserve">the example in </w:t>
      </w:r>
      <w:r w:rsidR="00CD6908">
        <w:t>Table 1. As seen,</w:t>
      </w:r>
      <w:r w:rsidRPr="00BE0C91">
        <w:t xml:space="preserve"> the percentage of resource elements available for NPDCCH/NPDSCH symbols, excluding those carrying SIB1-NB, may be as small as 42% in the worst-case scenario (in-band, 3 OFDM symbols for LTE PDCCH, and 4 CRS ports). Using more NPBCH repetitions will further reduce the percentage of resource elements available for NPDCCH/NPDSCH.</w:t>
      </w:r>
    </w:p>
    <w:p w14:paraId="7277D583" w14:textId="77777777" w:rsidR="00BE0C91" w:rsidRDefault="00BE0C91" w:rsidP="00BE0C91">
      <w:pPr>
        <w:pStyle w:val="BodyText"/>
        <w:rPr>
          <w:rFonts w:eastAsia="MS Mincho"/>
          <w:lang w:val="en-US" w:eastAsia="ja-JP"/>
        </w:rPr>
      </w:pPr>
    </w:p>
    <w:p w14:paraId="7A46FCCB" w14:textId="274EC158" w:rsidR="00BE0C91" w:rsidRPr="00BE0C91" w:rsidRDefault="00BE0C91" w:rsidP="00BE0C91">
      <w:pPr>
        <w:pStyle w:val="BodyText"/>
        <w:jc w:val="center"/>
        <w:rPr>
          <w:b/>
        </w:rPr>
      </w:pPr>
      <w:r w:rsidRPr="00002065">
        <w:rPr>
          <w:b/>
        </w:rPr>
        <w:t xml:space="preserve">Table </w:t>
      </w:r>
      <w:r>
        <w:rPr>
          <w:b/>
        </w:rPr>
        <w:t>1</w:t>
      </w:r>
      <w:r w:rsidRPr="00002065">
        <w:rPr>
          <w:b/>
        </w:rPr>
        <w:t>:</w:t>
      </w:r>
      <w:r>
        <w:rPr>
          <w:b/>
        </w:rPr>
        <w:t xml:space="preserve"> Overheads and </w:t>
      </w:r>
      <w:r w:rsidRPr="00002065">
        <w:rPr>
          <w:b/>
        </w:rPr>
        <w:t xml:space="preserve">percentage of resource elements available to NPDSCH/NPDCCH on a Rel-13 anchor carrier. </w:t>
      </w:r>
      <w:r w:rsidRPr="00002065">
        <w:rPr>
          <w:rFonts w:eastAsia="MS Mincho"/>
          <w:b/>
          <w:lang w:val="en-US" w:eastAsia="ja-JP"/>
        </w:rPr>
        <w:t>(in-band, 3 OFDM symbols for LTE PDCCH, and 4 CRS ports)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900"/>
      </w:tblGrid>
      <w:tr w:rsidR="00BE0C91" w:rsidRPr="00002065" w14:paraId="6B801B1A" w14:textId="77777777" w:rsidTr="00A256F8">
        <w:trPr>
          <w:trHeight w:val="290"/>
          <w:jc w:val="center"/>
        </w:trPr>
        <w:tc>
          <w:tcPr>
            <w:tcW w:w="5665" w:type="dxa"/>
            <w:shd w:val="clear" w:color="auto" w:fill="auto"/>
            <w:noWrap/>
            <w:vAlign w:val="bottom"/>
            <w:hideMark/>
          </w:tcPr>
          <w:p w14:paraId="105D01D8"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LTE</w:t>
            </w:r>
          </w:p>
        </w:tc>
        <w:tc>
          <w:tcPr>
            <w:tcW w:w="900" w:type="dxa"/>
            <w:shd w:val="clear" w:color="auto" w:fill="auto"/>
            <w:noWrap/>
            <w:vAlign w:val="bottom"/>
            <w:hideMark/>
          </w:tcPr>
          <w:p w14:paraId="5B1C65F4"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31.0%</w:t>
            </w:r>
          </w:p>
        </w:tc>
      </w:tr>
      <w:tr w:rsidR="00BE0C91" w:rsidRPr="00002065" w14:paraId="5F0C2BDC" w14:textId="77777777" w:rsidTr="00A256F8">
        <w:trPr>
          <w:trHeight w:val="290"/>
          <w:jc w:val="center"/>
        </w:trPr>
        <w:tc>
          <w:tcPr>
            <w:tcW w:w="5665" w:type="dxa"/>
            <w:shd w:val="clear" w:color="auto" w:fill="auto"/>
            <w:noWrap/>
            <w:vAlign w:val="bottom"/>
            <w:hideMark/>
          </w:tcPr>
          <w:p w14:paraId="2C9CB001"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NPBCH</w:t>
            </w:r>
          </w:p>
        </w:tc>
        <w:tc>
          <w:tcPr>
            <w:tcW w:w="900" w:type="dxa"/>
            <w:shd w:val="clear" w:color="auto" w:fill="auto"/>
            <w:noWrap/>
            <w:vAlign w:val="bottom"/>
            <w:hideMark/>
          </w:tcPr>
          <w:p w14:paraId="1218DE13"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6.0%</w:t>
            </w:r>
          </w:p>
        </w:tc>
      </w:tr>
      <w:tr w:rsidR="00BE0C91" w:rsidRPr="00002065" w14:paraId="2BC9BE01" w14:textId="77777777" w:rsidTr="00A256F8">
        <w:trPr>
          <w:trHeight w:val="290"/>
          <w:jc w:val="center"/>
        </w:trPr>
        <w:tc>
          <w:tcPr>
            <w:tcW w:w="5665" w:type="dxa"/>
            <w:shd w:val="clear" w:color="auto" w:fill="auto"/>
            <w:noWrap/>
            <w:vAlign w:val="bottom"/>
            <w:hideMark/>
          </w:tcPr>
          <w:p w14:paraId="70FB7029"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NPSS</w:t>
            </w:r>
          </w:p>
        </w:tc>
        <w:tc>
          <w:tcPr>
            <w:tcW w:w="900" w:type="dxa"/>
            <w:shd w:val="clear" w:color="auto" w:fill="auto"/>
            <w:noWrap/>
            <w:vAlign w:val="bottom"/>
            <w:hideMark/>
          </w:tcPr>
          <w:p w14:paraId="790ABB8B"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6.9%</w:t>
            </w:r>
          </w:p>
        </w:tc>
      </w:tr>
      <w:tr w:rsidR="00BE0C91" w:rsidRPr="00002065" w14:paraId="762980B9" w14:textId="77777777" w:rsidTr="00A256F8">
        <w:trPr>
          <w:trHeight w:val="290"/>
          <w:jc w:val="center"/>
        </w:trPr>
        <w:tc>
          <w:tcPr>
            <w:tcW w:w="5665" w:type="dxa"/>
            <w:shd w:val="clear" w:color="auto" w:fill="auto"/>
            <w:noWrap/>
            <w:vAlign w:val="bottom"/>
            <w:hideMark/>
          </w:tcPr>
          <w:p w14:paraId="758B059A"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NSSS</w:t>
            </w:r>
          </w:p>
        </w:tc>
        <w:tc>
          <w:tcPr>
            <w:tcW w:w="900" w:type="dxa"/>
            <w:shd w:val="clear" w:color="auto" w:fill="auto"/>
            <w:noWrap/>
            <w:vAlign w:val="bottom"/>
            <w:hideMark/>
          </w:tcPr>
          <w:p w14:paraId="7162CB98"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3.5%</w:t>
            </w:r>
          </w:p>
        </w:tc>
      </w:tr>
      <w:tr w:rsidR="00BE0C91" w:rsidRPr="00002065" w14:paraId="64A6B60F" w14:textId="77777777" w:rsidTr="00A256F8">
        <w:trPr>
          <w:trHeight w:val="290"/>
          <w:jc w:val="center"/>
        </w:trPr>
        <w:tc>
          <w:tcPr>
            <w:tcW w:w="5665" w:type="dxa"/>
            <w:shd w:val="clear" w:color="auto" w:fill="auto"/>
            <w:noWrap/>
            <w:vAlign w:val="bottom"/>
            <w:hideMark/>
          </w:tcPr>
          <w:p w14:paraId="313C38D0"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NRS</w:t>
            </w:r>
          </w:p>
        </w:tc>
        <w:tc>
          <w:tcPr>
            <w:tcW w:w="900" w:type="dxa"/>
            <w:shd w:val="clear" w:color="auto" w:fill="auto"/>
            <w:noWrap/>
            <w:vAlign w:val="bottom"/>
            <w:hideMark/>
          </w:tcPr>
          <w:p w14:paraId="6E5C43EC"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8.1%</w:t>
            </w:r>
          </w:p>
        </w:tc>
      </w:tr>
      <w:tr w:rsidR="00BE0C91" w:rsidRPr="00002065" w14:paraId="7A9FCB1B" w14:textId="77777777" w:rsidTr="00A256F8">
        <w:trPr>
          <w:trHeight w:val="290"/>
          <w:jc w:val="center"/>
        </w:trPr>
        <w:tc>
          <w:tcPr>
            <w:tcW w:w="5665" w:type="dxa"/>
            <w:shd w:val="clear" w:color="auto" w:fill="auto"/>
            <w:noWrap/>
            <w:vAlign w:val="bottom"/>
            <w:hideMark/>
          </w:tcPr>
          <w:p w14:paraId="6AA34B11"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SIB1-NB</w:t>
            </w:r>
          </w:p>
        </w:tc>
        <w:tc>
          <w:tcPr>
            <w:tcW w:w="900" w:type="dxa"/>
            <w:shd w:val="clear" w:color="auto" w:fill="auto"/>
            <w:noWrap/>
            <w:vAlign w:val="bottom"/>
            <w:hideMark/>
          </w:tcPr>
          <w:p w14:paraId="1583C16A"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3.0%</w:t>
            </w:r>
          </w:p>
        </w:tc>
      </w:tr>
      <w:tr w:rsidR="00BE0C91" w:rsidRPr="00002065" w14:paraId="7AD17BCF" w14:textId="77777777" w:rsidTr="00A256F8">
        <w:trPr>
          <w:trHeight w:val="290"/>
          <w:jc w:val="center"/>
        </w:trPr>
        <w:tc>
          <w:tcPr>
            <w:tcW w:w="5665" w:type="dxa"/>
            <w:shd w:val="clear" w:color="auto" w:fill="auto"/>
            <w:noWrap/>
            <w:vAlign w:val="bottom"/>
            <w:hideMark/>
          </w:tcPr>
          <w:p w14:paraId="5F3FD593"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total overhead</w:t>
            </w:r>
          </w:p>
        </w:tc>
        <w:tc>
          <w:tcPr>
            <w:tcW w:w="900" w:type="dxa"/>
            <w:shd w:val="clear" w:color="auto" w:fill="auto"/>
            <w:noWrap/>
            <w:vAlign w:val="bottom"/>
            <w:hideMark/>
          </w:tcPr>
          <w:p w14:paraId="2EF15187"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58.3%</w:t>
            </w:r>
          </w:p>
        </w:tc>
      </w:tr>
      <w:tr w:rsidR="00BE0C91" w:rsidRPr="00002065" w14:paraId="03E0D477" w14:textId="77777777" w:rsidTr="00A256F8">
        <w:trPr>
          <w:trHeight w:val="290"/>
          <w:jc w:val="center"/>
        </w:trPr>
        <w:tc>
          <w:tcPr>
            <w:tcW w:w="5665" w:type="dxa"/>
            <w:shd w:val="clear" w:color="auto" w:fill="auto"/>
            <w:noWrap/>
            <w:vAlign w:val="bottom"/>
          </w:tcPr>
          <w:p w14:paraId="5187B740"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 xml:space="preserve">percentage </w:t>
            </w:r>
            <w:r>
              <w:rPr>
                <w:rFonts w:ascii="Calibri" w:hAnsi="Calibri"/>
                <w:color w:val="000000"/>
                <w:szCs w:val="22"/>
                <w:lang w:eastAsia="zh-TW"/>
              </w:rPr>
              <w:t xml:space="preserve">of resource elements </w:t>
            </w:r>
            <w:r w:rsidRPr="00002065">
              <w:rPr>
                <w:rFonts w:ascii="Calibri" w:hAnsi="Calibri"/>
                <w:color w:val="000000"/>
                <w:szCs w:val="22"/>
                <w:lang w:eastAsia="zh-TW"/>
              </w:rPr>
              <w:t>available to NPDSCH/NPDCCH</w:t>
            </w:r>
          </w:p>
        </w:tc>
        <w:tc>
          <w:tcPr>
            <w:tcW w:w="900" w:type="dxa"/>
            <w:shd w:val="clear" w:color="auto" w:fill="auto"/>
            <w:noWrap/>
            <w:vAlign w:val="bottom"/>
          </w:tcPr>
          <w:p w14:paraId="5E8DE040"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41.7%</w:t>
            </w:r>
          </w:p>
        </w:tc>
      </w:tr>
    </w:tbl>
    <w:p w14:paraId="63438B35" w14:textId="77777777" w:rsidR="00BE0C91" w:rsidRDefault="00BE0C91" w:rsidP="00BE0C91">
      <w:pPr>
        <w:pStyle w:val="BodyText"/>
        <w:rPr>
          <w:rFonts w:eastAsia="MS Mincho"/>
          <w:lang w:val="en-US" w:eastAsia="ja-JP"/>
        </w:rPr>
      </w:pPr>
    </w:p>
    <w:p w14:paraId="31405003" w14:textId="3EDB9DE2" w:rsidR="00BE0C91" w:rsidRPr="00541BD8" w:rsidRDefault="00CD6908" w:rsidP="00541BD8">
      <w:pPr>
        <w:pStyle w:val="BodyText"/>
        <w:spacing w:before="180" w:after="180"/>
        <w:rPr>
          <w:rFonts w:ascii="Times New Roman" w:eastAsia="MS Mincho" w:hAnsi="Times New Roman"/>
          <w:b/>
          <w:i/>
          <w:sz w:val="22"/>
          <w:szCs w:val="24"/>
          <w:lang w:val="en-US" w:eastAsia="ja-JP"/>
        </w:rPr>
      </w:pPr>
      <w:r w:rsidRPr="00541BD8">
        <w:rPr>
          <w:rFonts w:ascii="Times New Roman" w:eastAsia="MS Mincho" w:hAnsi="Times New Roman"/>
          <w:b/>
          <w:i/>
          <w:sz w:val="22"/>
          <w:szCs w:val="24"/>
          <w:lang w:val="en-US" w:eastAsia="ja-JP"/>
        </w:rPr>
        <w:t>Observation 2</w:t>
      </w:r>
      <w:r w:rsidR="00BE0C91" w:rsidRPr="00541BD8">
        <w:rPr>
          <w:rFonts w:ascii="Times New Roman" w:eastAsia="MS Mincho" w:hAnsi="Times New Roman"/>
          <w:b/>
          <w:i/>
          <w:sz w:val="22"/>
          <w:szCs w:val="24"/>
          <w:lang w:val="en-US" w:eastAsia="ja-JP"/>
        </w:rPr>
        <w:t>: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0C8483D5" w14:textId="5343DBFE" w:rsidR="00BE0C91" w:rsidRDefault="00CD6908" w:rsidP="00633EFB">
      <w:pPr>
        <w:pStyle w:val="BodyText"/>
      </w:pPr>
      <w:r>
        <w:t>In the remainder of this contribution, we focus on solutions for reducing NPBCH acquisition time that (1) do not incur significant additional overhead</w:t>
      </w:r>
      <w:r w:rsidR="00186EB2">
        <w:t>s</w:t>
      </w:r>
      <w:r>
        <w:t xml:space="preserve"> on a NB-IoT anchor carrier (2) beneficial for the in-band mode. The solutions considered include (1) more sophisticated receivers and (2) </w:t>
      </w:r>
      <w:r w:rsidRPr="00CD6908">
        <w:t>New mechanism allowing to skip MIB-NB</w:t>
      </w:r>
      <w:r w:rsidR="00BB0465">
        <w:t xml:space="preserve"> and SIB1-NB</w:t>
      </w:r>
      <w:r w:rsidRPr="00CD6908">
        <w:t xml:space="preserve"> reading</w:t>
      </w:r>
      <w:r>
        <w:t>.</w:t>
      </w:r>
    </w:p>
    <w:p w14:paraId="7413AFA1" w14:textId="1B31E84D" w:rsidR="00BE0C91" w:rsidRPr="00166321" w:rsidRDefault="00166321" w:rsidP="00166321">
      <w:pPr>
        <w:pStyle w:val="Heading1"/>
      </w:pPr>
      <w:r>
        <w:t>M</w:t>
      </w:r>
      <w:r w:rsidRPr="00166321">
        <w:t>ore sophisticated receivers</w:t>
      </w:r>
    </w:p>
    <w:p w14:paraId="7ED9D5E3" w14:textId="5BFAEC40" w:rsidR="00776B00" w:rsidRDefault="00166321" w:rsidP="00633EFB">
      <w:pPr>
        <w:pStyle w:val="BodyText"/>
      </w:pPr>
      <w:r>
        <w:t xml:space="preserve">In [2], cross-subframe channel estimation and </w:t>
      </w:r>
      <w:r w:rsidR="00776B00">
        <w:t xml:space="preserve">advanced </w:t>
      </w:r>
      <w:r w:rsidR="00776B00" w:rsidRPr="00776B00">
        <w:t>MIB-</w:t>
      </w:r>
      <w:r w:rsidR="00776B00">
        <w:t>NB deco</w:t>
      </w:r>
      <w:r w:rsidR="002D41B6">
        <w:t xml:space="preserve">ding technique were considered. </w:t>
      </w:r>
      <w:r w:rsidR="00776B00">
        <w:t xml:space="preserve">While cross-subframe channel estimation and its benefits are well understood, advanced </w:t>
      </w:r>
      <w:r w:rsidR="00776B00" w:rsidRPr="00776B00">
        <w:t>MIB-</w:t>
      </w:r>
      <w:r w:rsidR="00776B00">
        <w:t xml:space="preserve">NB decoding </w:t>
      </w:r>
      <w:r w:rsidR="00776B00">
        <w:lastRenderedPageBreak/>
        <w:t xml:space="preserve">technique </w:t>
      </w:r>
      <w:r w:rsidR="005F0049">
        <w:t xml:space="preserve">[3] </w:t>
      </w:r>
      <w:r w:rsidR="00776B00">
        <w:t xml:space="preserve">may require further discussion. In this section, we discuss an advanced </w:t>
      </w:r>
      <w:r w:rsidR="00776B00" w:rsidRPr="00776B00">
        <w:t>MIB-</w:t>
      </w:r>
      <w:r w:rsidR="00776B00">
        <w:t xml:space="preserve">NB decoding technique that allows the UE to jointly decode NPBCH received signals over multiple </w:t>
      </w:r>
      <w:r w:rsidR="00FB1C4B">
        <w:t xml:space="preserve">640-ms NPBCH </w:t>
      </w:r>
      <w:r w:rsidR="00776B00">
        <w:t>TTIs.</w:t>
      </w:r>
    </w:p>
    <w:p w14:paraId="7F384600" w14:textId="04A2207C" w:rsidR="00194D02" w:rsidRDefault="00194D02" w:rsidP="00633EFB">
      <w:pPr>
        <w:pStyle w:val="BodyText"/>
      </w:pPr>
      <w:r>
        <w:t xml:space="preserve">The encoding process of MIB-NB is illustrated in Figure 1. MIB-NB is 34-bit long, and the first 6 bits consist of the 4 MSBs of SFN and 2 LSBs of H-SFN. The CRC encoder adds 16 CRC bits, which are later applied with a mask that is dependent of the number of antenna ports used to transmit NPBCH. After CRC encoding and masking, the 50-bit sequence is encoded with TBCC to </w:t>
      </w:r>
      <w:r w:rsidR="00B36D78">
        <w:t xml:space="preserve">produce a codeword of </w:t>
      </w:r>
      <w:r w:rsidR="005F2777">
        <w:t>150 bits, which based on the LTE rate matching algorithm generate a 1600-bit</w:t>
      </w:r>
      <w:r w:rsidR="00B36D78">
        <w:t xml:space="preserve"> </w:t>
      </w:r>
      <w:r w:rsidR="005F2777">
        <w:t>NPBCH codeword. On the receiver side, the UE can first undo rate matching, and thus the core problem is use a TBCC decoder to process the 150 bit soft values and produce a decoded bit sequence.</w:t>
      </w:r>
    </w:p>
    <w:p w14:paraId="360353BA" w14:textId="387BD16F" w:rsidR="00194D02" w:rsidRDefault="00194D02" w:rsidP="00633EFB">
      <w:pPr>
        <w:pStyle w:val="BodyText"/>
      </w:pPr>
      <w:r>
        <w:t xml:space="preserve">An important code property to exploit is that both the CRC and TBCC codes are linear codes. Recall that if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oMath>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oMath>
      <w:r>
        <w:t xml:space="preserve"> are two information vectors </w:t>
      </w:r>
      <w:r w:rsidR="00A87EB5">
        <w:t xml:space="preserve">over </w:t>
      </w:r>
      <w:r w:rsidR="00A87EB5" w:rsidRPr="00633EFB">
        <w:t>GF</w:t>
      </w:r>
      <w:r w:rsidR="00A87EB5">
        <w:t xml:space="preserve">(2) </w:t>
      </w:r>
      <w:r>
        <w:t xml:space="preserve">and </w:t>
      </w:r>
      <w:r w:rsidRPr="009850C2">
        <w:rPr>
          <w:rFonts w:ascii="Times New Roman" w:hAnsi="Times New Roman"/>
          <w:i/>
        </w:rPr>
        <w:t>C</w:t>
      </w:r>
      <w:r>
        <w:t xml:space="preserve"> is a linear code so that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i</m:t>
            </m:r>
          </m:sub>
        </m:sSub>
      </m:oMath>
      <w:r w:rsidR="00A87EB5">
        <w:t>,</w:t>
      </w:r>
      <w:r w:rsidR="00AA7EDD">
        <w:t xml:space="preserve"> then</w:t>
      </w:r>
      <w:r w:rsidR="00A87EB5">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00A87EB5">
        <w:t>. Exploiting such a linear code property, joint decoding over multiple NPBCH TTIs can be easily done assuming that the MIB-NB information content that changes across TTIs is the 6 bits SFN and H-SFN information. We illustrate how this works below.</w:t>
      </w:r>
    </w:p>
    <w:p w14:paraId="2A34D92A" w14:textId="6E8B5872" w:rsidR="00A87EB5" w:rsidRDefault="00A87EB5" w:rsidP="00633EFB">
      <w:pPr>
        <w:pStyle w:val="BodyText"/>
      </w:pPr>
      <w:r>
        <w:t xml:space="preserve">Assume the 6 bits SFN and H-SFN information in the first TTI is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0,0,0,0,0,0</m:t>
            </m:r>
          </m:e>
        </m:d>
      </m:oMath>
      <w:r>
        <w:t xml:space="preserve">, and therefore in the subsequent TTI it is (1,0,0,0,0,0). Here we use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e>
        </m:d>
      </m:oMath>
      <w:r>
        <w:t xml:space="preserve"> and </w:t>
      </w:r>
      <m:oMath>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F56D2">
        <w:t xml:space="preserve"> to represent the 4 M</w:t>
      </w:r>
      <w:r>
        <w:t xml:space="preserve">SBs of SFN and 2 </w:t>
      </w:r>
      <w:r w:rsidR="00AF56D2">
        <w:t>L</w:t>
      </w:r>
      <w:r>
        <w:t>SB</w:t>
      </w:r>
      <w:r w:rsidR="00AF56D2">
        <w:t>s of H-SFN, respectively.</w:t>
      </w:r>
      <w:r w:rsidR="00535CFA">
        <w:t xml:space="preserve"> </w:t>
      </w:r>
      <w:r>
        <w:t>The difference between the two MIB-NB information vectors</w:t>
      </w:r>
      <w:r w:rsidR="009C4D76">
        <w:t xml:space="preserve"> (34 bits each)</w:t>
      </w:r>
      <w:r>
        <w:t xml:space="preserve"> </w:t>
      </w:r>
      <w:r w:rsidR="00535CFA">
        <w:t xml:space="preserve">in two consecutive TTI’s </w:t>
      </w:r>
      <w:r>
        <w:t xml:space="preserve">is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r>
          <m:rPr>
            <m:sty m:val="p"/>
          </m:rPr>
          <w:rPr>
            <w:rFonts w:ascii="Cambria Math" w:hAnsi="Cambria Math"/>
          </w:rPr>
          <m:t>=(1, 0, 0, …0)</m:t>
        </m:r>
      </m:oMath>
      <w:r w:rsidR="00535CFA">
        <w:t xml:space="preserve">. </w:t>
      </w:r>
      <w:r w:rsidR="009C4D76">
        <w:t xml:space="preserve">Using the linear code properties, the difference in the TBCC codewords, denoted as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9C4D76">
        <w:t xml:space="preserve">  can be computed using the process illustrated in Figure 2. Note here that compared to Figure 1, CRC masking is not needed as it disappears after taking the difference between two codewords.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can be thought </w:t>
      </w:r>
      <w:r w:rsidR="00E94277">
        <w:t xml:space="preserve">of </w:t>
      </w:r>
      <w:r w:rsidR="003A3D1D">
        <w:t>as an additional scrambling mask applied to the codeword in the 2</w:t>
      </w:r>
      <w:r w:rsidR="003A3D1D" w:rsidRPr="00633EFB">
        <w:t>nd</w:t>
      </w:r>
      <w:r w:rsidR="003A3D1D">
        <w:t xml:space="preserve"> TTI</w:t>
      </w:r>
      <w:r w:rsidR="00E94277">
        <w:t>, relative to the codeword in the first TTI</w:t>
      </w:r>
      <w:r w:rsidR="003A3D1D">
        <w:t xml:space="preserve">. Thus, to use the two received codewords for joint decoding, the receiver can descramble the second </w:t>
      </w:r>
      <w:r w:rsidR="00E94277">
        <w:t xml:space="preserve">received </w:t>
      </w:r>
      <w:r w:rsidR="003A3D1D">
        <w:t xml:space="preserve">codeword using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and </w:t>
      </w:r>
      <w:r w:rsidR="00F5775B">
        <w:t xml:space="preserve">soft </w:t>
      </w:r>
      <w:r w:rsidR="003A3D1D">
        <w:t>combine with the first codeword. Note that such a technique can be extended to using more than two TTI’s for joint decoding</w:t>
      </w:r>
      <w:r w:rsidR="00EC6BEE">
        <w:t xml:space="preserve"> at the expense of increase </w:t>
      </w:r>
      <w:r w:rsidR="00E6215C">
        <w:t xml:space="preserve">soft buffer </w:t>
      </w:r>
      <w:r w:rsidR="00EC6BEE">
        <w:t>requirements</w:t>
      </w:r>
      <w:r w:rsidR="003A3D1D">
        <w:t>.</w:t>
      </w:r>
    </w:p>
    <w:p w14:paraId="43DA3EB7" w14:textId="09628C66" w:rsidR="00D05C2F" w:rsidRDefault="00FB1C4B" w:rsidP="00633EFB">
      <w:pPr>
        <w:pStyle w:val="BodyText"/>
      </w:pPr>
      <w:r>
        <w:t xml:space="preserve">For MIB-NB, the six frame counter bits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have 64 combinations, but only result in six different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 and therefore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w:t>
      </w:r>
      <w:r w:rsidR="00D05C2F">
        <w:t>This is illustrated in Table 2.</w:t>
      </w:r>
      <w:r w:rsidR="0063051D">
        <w:t xml:space="preserve"> In Table 2, we highlight the first time a new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 appears in blue. As seen, many frame counter values share the same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w:t>
      </w:r>
      <w:r w:rsidR="0063051D">
        <w:t>.</w:t>
      </w:r>
    </w:p>
    <w:p w14:paraId="137FA98C" w14:textId="5E5F5FCA" w:rsidR="00FB1C4B" w:rsidRDefault="00FB1C4B" w:rsidP="00633EFB">
      <w:pPr>
        <w:pStyle w:val="BodyText"/>
      </w:pPr>
      <w:r>
        <w:t xml:space="preserve">The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requires that the received</w:t>
      </w:r>
      <w:r w:rsidR="00026998">
        <w:t xml:space="preserve"> codewor</w:t>
      </w:r>
      <w:r>
        <w:t>ds over two TTIs are combined in 6 different ways. Thus, the decoder memory is increased from 150 bit soft values to 900 bit soft values</w:t>
      </w:r>
      <w:r w:rsidR="00EC6BEE">
        <w:t xml:space="preserve"> </w:t>
      </w:r>
      <w:r w:rsidR="00E6215C">
        <w:t>when</w:t>
      </w:r>
      <w:r w:rsidR="00EC6BEE">
        <w:t xml:space="preserve"> combining across two TTIs</w:t>
      </w:r>
      <w:r>
        <w:t xml:space="preserve">. The decoder complexity however is the same as a regular TBCC decoder in that the number of trellis state remains as 64 and each state has two outbound branches and two inbound branches. The only twist is that the branch metric calculation needs to base on an appropriately chosen </w:t>
      </w:r>
      <w:r w:rsidR="00026998">
        <w:t>version of combined received codeword</w:t>
      </w:r>
      <w:bookmarkStart w:id="2" w:name="_GoBack"/>
      <w:bookmarkEnd w:id="2"/>
      <w:r w:rsidR="00026998">
        <w:t>. For a particular state, the process of determining which version of combined received codeword to use is however deterministic and does not involve additional hypotheses.</w:t>
      </w:r>
    </w:p>
    <w:p w14:paraId="1D6303A0" w14:textId="26A65C83" w:rsidR="00194D02" w:rsidRDefault="00194D02" w:rsidP="00776B00"/>
    <w:p w14:paraId="121BB788" w14:textId="28F565F9" w:rsidR="00194D02" w:rsidRDefault="00D22A66" w:rsidP="00194D02">
      <w:pPr>
        <w:jc w:val="center"/>
      </w:pPr>
      <w:r>
        <w:object w:dxaOrig="7680" w:dyaOrig="866" w14:anchorId="2D120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45pt;height:43.6pt" o:ole="">
            <v:imagedata r:id="rId8" o:title=""/>
          </v:shape>
          <o:OLEObject Type="Embed" ProgID="Visio.Drawing.15" ShapeID="_x0000_i1025" DrawAspect="Content" ObjectID="_1555485936" r:id="rId9"/>
        </w:object>
      </w:r>
    </w:p>
    <w:p w14:paraId="03637A3C" w14:textId="1E6EAB99" w:rsidR="00194D02" w:rsidRDefault="00194D02" w:rsidP="00194D02">
      <w:pPr>
        <w:jc w:val="center"/>
      </w:pPr>
      <w:r>
        <w:t>Figure 1: MIB-NB encoding process.</w:t>
      </w:r>
    </w:p>
    <w:p w14:paraId="16B9DE55" w14:textId="2AFDB37A" w:rsidR="00194D02" w:rsidRDefault="00194D02" w:rsidP="00776B00"/>
    <w:p w14:paraId="61DB15AD" w14:textId="740F3DC6" w:rsidR="009C4D76" w:rsidRDefault="009C4D76" w:rsidP="009C4D76">
      <w:pPr>
        <w:jc w:val="center"/>
      </w:pPr>
      <w:r>
        <w:object w:dxaOrig="3849" w:dyaOrig="943" w14:anchorId="4C5E2727">
          <v:shape id="_x0000_i1026" type="#_x0000_t75" style="width:192.2pt;height:47.25pt" o:ole="">
            <v:imagedata r:id="rId10" o:title=""/>
          </v:shape>
          <o:OLEObject Type="Embed" ProgID="Visio.Drawing.15" ShapeID="_x0000_i1026" DrawAspect="Content" ObjectID="_1555485937" r:id="rId11"/>
        </w:object>
      </w:r>
    </w:p>
    <w:p w14:paraId="07C1BAE9" w14:textId="141EE582" w:rsidR="009C4D76" w:rsidRDefault="009C4D76" w:rsidP="00966383">
      <w:pPr>
        <w:rPr>
          <w:rFonts w:ascii="Arial" w:hAnsi="Arial" w:cs="Arial"/>
          <w:sz w:val="20"/>
          <w:szCs w:val="20"/>
        </w:rPr>
      </w:pPr>
      <w:r w:rsidRPr="00966383">
        <w:rPr>
          <w:rFonts w:ascii="Arial" w:hAnsi="Arial" w:cs="Arial"/>
          <w:sz w:val="20"/>
          <w:szCs w:val="20"/>
        </w:rPr>
        <w:t xml:space="preserve">Figure </w:t>
      </w:r>
      <w:r w:rsidR="004360A7">
        <w:rPr>
          <w:rFonts w:ascii="Arial" w:hAnsi="Arial" w:cs="Arial"/>
          <w:sz w:val="20"/>
          <w:szCs w:val="20"/>
        </w:rPr>
        <w:t>2</w:t>
      </w:r>
      <w:r w:rsidRPr="00966383">
        <w:rPr>
          <w:rFonts w:ascii="Arial" w:hAnsi="Arial" w:cs="Arial"/>
          <w:sz w:val="20"/>
          <w:szCs w:val="20"/>
        </w:rPr>
        <w:t>: Compute the difference in TBCC codeword based on the difference in MIB-NB information vectors.</w:t>
      </w:r>
    </w:p>
    <w:p w14:paraId="005767F3" w14:textId="32C0DCA6" w:rsidR="00A256F8" w:rsidRDefault="00A256F8" w:rsidP="00966383">
      <w:pPr>
        <w:rPr>
          <w:rFonts w:ascii="Arial" w:hAnsi="Arial" w:cs="Arial"/>
          <w:sz w:val="20"/>
          <w:szCs w:val="20"/>
        </w:rPr>
      </w:pPr>
    </w:p>
    <w:p w14:paraId="2BDD8879" w14:textId="36893C24" w:rsidR="00A256F8" w:rsidRDefault="00A256F8" w:rsidP="00966383">
      <w:pPr>
        <w:rPr>
          <w:rFonts w:ascii="Arial" w:hAnsi="Arial" w:cs="Arial"/>
          <w:sz w:val="20"/>
          <w:szCs w:val="20"/>
        </w:rPr>
      </w:pPr>
    </w:p>
    <w:p w14:paraId="49D50D9D" w14:textId="14CC8813" w:rsidR="00A256F8" w:rsidRDefault="00A256F8" w:rsidP="00966383">
      <w:pPr>
        <w:rPr>
          <w:rFonts w:ascii="Arial" w:hAnsi="Arial" w:cs="Arial"/>
          <w:sz w:val="20"/>
          <w:szCs w:val="20"/>
        </w:rPr>
      </w:pPr>
    </w:p>
    <w:p w14:paraId="058CFD4C" w14:textId="69A4326B" w:rsidR="00A256F8" w:rsidRDefault="00A256F8" w:rsidP="00966383">
      <w:pPr>
        <w:rPr>
          <w:rFonts w:ascii="Arial" w:hAnsi="Arial" w:cs="Arial"/>
          <w:sz w:val="20"/>
          <w:szCs w:val="20"/>
        </w:rPr>
      </w:pPr>
    </w:p>
    <w:p w14:paraId="5B2F18FF" w14:textId="5839CDFF" w:rsidR="00A256F8" w:rsidRDefault="00A256F8" w:rsidP="00966383">
      <w:pPr>
        <w:rPr>
          <w:rFonts w:ascii="Arial" w:hAnsi="Arial" w:cs="Arial"/>
          <w:sz w:val="20"/>
          <w:szCs w:val="20"/>
        </w:rPr>
      </w:pPr>
    </w:p>
    <w:p w14:paraId="3CA096AA" w14:textId="77777777" w:rsidR="00A256F8" w:rsidRDefault="00A256F8" w:rsidP="00966383">
      <w:pPr>
        <w:rPr>
          <w:rFonts w:ascii="Arial" w:hAnsi="Arial" w:cs="Arial"/>
          <w:sz w:val="20"/>
          <w:szCs w:val="20"/>
        </w:rPr>
      </w:pPr>
    </w:p>
    <w:p w14:paraId="540DACE5" w14:textId="41FA2660" w:rsidR="00A256F8" w:rsidRDefault="00A256F8" w:rsidP="00A256F8">
      <w:pPr>
        <w:pStyle w:val="BodyText"/>
      </w:pPr>
      <w:r>
        <w:t xml:space="preserve">Table 2: </w:t>
      </w:r>
      <w:r w:rsidR="0063051D">
        <w:t>Relationship</w:t>
      </w:r>
      <w:r>
        <w:t xml:space="preserve"> between f</w:t>
      </w:r>
      <w:r w:rsidR="0063051D">
        <w:t>rame counter value</w:t>
      </w:r>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Although there are 64 possible</w:t>
      </w:r>
      <w:r w:rsidR="0063051D">
        <w:t xml:space="preserve"> frame counter</w:t>
      </w:r>
      <w:r>
        <w:t xml:space="preserve"> values, there are only 6 possible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w:t>
      </w:r>
    </w:p>
    <w:tbl>
      <w:tblPr>
        <w:tblStyle w:val="TableGrid"/>
        <w:tblW w:w="0" w:type="auto"/>
        <w:tblLook w:val="04A0" w:firstRow="1" w:lastRow="0" w:firstColumn="1" w:lastColumn="0" w:noHBand="0" w:noVBand="1"/>
      </w:tblPr>
      <w:tblGrid>
        <w:gridCol w:w="3206"/>
        <w:gridCol w:w="3207"/>
        <w:gridCol w:w="3207"/>
      </w:tblGrid>
      <w:tr w:rsidR="00A256F8" w14:paraId="5AF879DF" w14:textId="77777777" w:rsidTr="00A256F8">
        <w:tc>
          <w:tcPr>
            <w:tcW w:w="3206" w:type="dxa"/>
          </w:tcPr>
          <w:p w14:paraId="2BAE9F50" w14:textId="77777777" w:rsidR="00A256F8" w:rsidRDefault="00A256F8" w:rsidP="00A256F8">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in first TTI</w:t>
            </w:r>
          </w:p>
        </w:tc>
        <w:tc>
          <w:tcPr>
            <w:tcW w:w="3207" w:type="dxa"/>
          </w:tcPr>
          <w:p w14:paraId="65229CE6" w14:textId="77777777" w:rsidR="00A256F8" w:rsidRDefault="00A256F8" w:rsidP="00A256F8">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in second TTI</w:t>
            </w:r>
          </w:p>
        </w:tc>
        <w:tc>
          <w:tcPr>
            <w:tcW w:w="3207" w:type="dxa"/>
          </w:tcPr>
          <w:p w14:paraId="7BE9FF6A" w14:textId="77777777" w:rsidR="00A256F8" w:rsidRDefault="00A256F8" w:rsidP="00A256F8">
            <w:pPr>
              <w:pStyle w:val="BodyText"/>
            </w:pP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(length 34 vector)</w:t>
            </w:r>
          </w:p>
        </w:tc>
      </w:tr>
      <w:tr w:rsidR="00A256F8" w14:paraId="70CD1642" w14:textId="77777777" w:rsidTr="00A256F8">
        <w:tc>
          <w:tcPr>
            <w:tcW w:w="3206" w:type="dxa"/>
          </w:tcPr>
          <w:p w14:paraId="09683D4D" w14:textId="77777777" w:rsidR="00A256F8" w:rsidRDefault="00A256F8" w:rsidP="00A256F8">
            <w:pPr>
              <w:pStyle w:val="BodyText"/>
            </w:pPr>
            <w:r>
              <w:t>(0,0,0,0,0,0)</w:t>
            </w:r>
          </w:p>
        </w:tc>
        <w:tc>
          <w:tcPr>
            <w:tcW w:w="3207" w:type="dxa"/>
          </w:tcPr>
          <w:p w14:paraId="7F046BEA" w14:textId="77777777" w:rsidR="00A256F8" w:rsidRDefault="00A256F8" w:rsidP="00A256F8">
            <w:pPr>
              <w:pStyle w:val="BodyText"/>
            </w:pPr>
            <w:r>
              <w:t>(1,0,0,0,0,0)</w:t>
            </w:r>
          </w:p>
        </w:tc>
        <w:tc>
          <w:tcPr>
            <w:tcW w:w="3207" w:type="dxa"/>
          </w:tcPr>
          <w:p w14:paraId="67ACF202" w14:textId="50785272" w:rsidR="00A256F8" w:rsidRDefault="00A256F8" w:rsidP="00A256F8">
            <w:pPr>
              <w:pStyle w:val="BodyText"/>
            </w:pPr>
            <w:r w:rsidRPr="009850C2">
              <w:rPr>
                <w:color w:val="0070C0"/>
              </w:rPr>
              <w:t>(1, 0, …, 0)</w:t>
            </w:r>
          </w:p>
        </w:tc>
      </w:tr>
      <w:tr w:rsidR="00A256F8" w14:paraId="0055EFE8" w14:textId="77777777" w:rsidTr="00A256F8">
        <w:tc>
          <w:tcPr>
            <w:tcW w:w="3206" w:type="dxa"/>
          </w:tcPr>
          <w:p w14:paraId="06DBD286" w14:textId="77777777" w:rsidR="00A256F8" w:rsidRDefault="00A256F8" w:rsidP="00A256F8">
            <w:pPr>
              <w:pStyle w:val="BodyText"/>
            </w:pPr>
            <w:r>
              <w:t>(1,0,0,0,0,0)</w:t>
            </w:r>
          </w:p>
        </w:tc>
        <w:tc>
          <w:tcPr>
            <w:tcW w:w="3207" w:type="dxa"/>
          </w:tcPr>
          <w:p w14:paraId="3A280B90" w14:textId="77777777" w:rsidR="00A256F8" w:rsidRDefault="00A256F8" w:rsidP="00A256F8">
            <w:pPr>
              <w:pStyle w:val="BodyText"/>
            </w:pPr>
            <w:r>
              <w:t>(0,1,0,0,0,0)</w:t>
            </w:r>
          </w:p>
        </w:tc>
        <w:tc>
          <w:tcPr>
            <w:tcW w:w="3207" w:type="dxa"/>
          </w:tcPr>
          <w:p w14:paraId="2D506596" w14:textId="1C8F0046" w:rsidR="00A256F8" w:rsidRPr="009850C2" w:rsidRDefault="00A256F8" w:rsidP="00A256F8">
            <w:pPr>
              <w:pStyle w:val="BodyText"/>
              <w:rPr>
                <w:color w:val="0070C0"/>
              </w:rPr>
            </w:pPr>
            <w:r w:rsidRPr="009850C2">
              <w:rPr>
                <w:color w:val="0070C0"/>
              </w:rPr>
              <w:t>(1, 1, 0, …, 0)</w:t>
            </w:r>
          </w:p>
        </w:tc>
      </w:tr>
      <w:tr w:rsidR="00A256F8" w14:paraId="6A4E0799" w14:textId="77777777" w:rsidTr="00A256F8">
        <w:tc>
          <w:tcPr>
            <w:tcW w:w="3206" w:type="dxa"/>
          </w:tcPr>
          <w:p w14:paraId="7BE14489" w14:textId="77777777" w:rsidR="00A256F8" w:rsidRDefault="00A256F8" w:rsidP="00A256F8">
            <w:pPr>
              <w:pStyle w:val="BodyText"/>
            </w:pPr>
            <w:r>
              <w:t>(0,1,0,0,0,0)</w:t>
            </w:r>
          </w:p>
        </w:tc>
        <w:tc>
          <w:tcPr>
            <w:tcW w:w="3207" w:type="dxa"/>
          </w:tcPr>
          <w:p w14:paraId="0C0F30E3" w14:textId="77777777" w:rsidR="00A256F8" w:rsidRDefault="00A256F8" w:rsidP="00A256F8">
            <w:pPr>
              <w:pStyle w:val="BodyText"/>
            </w:pPr>
            <w:r>
              <w:t>(1,1,0,0,0,0)</w:t>
            </w:r>
          </w:p>
        </w:tc>
        <w:tc>
          <w:tcPr>
            <w:tcW w:w="3207" w:type="dxa"/>
          </w:tcPr>
          <w:p w14:paraId="3DD332BB" w14:textId="64B2278A" w:rsidR="00A256F8" w:rsidRDefault="00A256F8" w:rsidP="00A256F8">
            <w:pPr>
              <w:pStyle w:val="BodyText"/>
            </w:pPr>
            <w:r>
              <w:t>(1, 0, …, 0)</w:t>
            </w:r>
          </w:p>
        </w:tc>
      </w:tr>
      <w:tr w:rsidR="00A256F8" w14:paraId="3B808DA5" w14:textId="77777777" w:rsidTr="00A256F8">
        <w:tc>
          <w:tcPr>
            <w:tcW w:w="3206" w:type="dxa"/>
          </w:tcPr>
          <w:p w14:paraId="4E86665A" w14:textId="77777777" w:rsidR="00A256F8" w:rsidRDefault="00A256F8" w:rsidP="00A256F8">
            <w:pPr>
              <w:pStyle w:val="BodyText"/>
            </w:pPr>
            <w:r>
              <w:t>(1,1,0,0,0,0)</w:t>
            </w:r>
          </w:p>
        </w:tc>
        <w:tc>
          <w:tcPr>
            <w:tcW w:w="3207" w:type="dxa"/>
          </w:tcPr>
          <w:p w14:paraId="15116882" w14:textId="77777777" w:rsidR="00A256F8" w:rsidRDefault="00A256F8" w:rsidP="00A256F8">
            <w:pPr>
              <w:pStyle w:val="BodyText"/>
            </w:pPr>
            <w:r>
              <w:t>(0,0,1,0,0,0)</w:t>
            </w:r>
          </w:p>
        </w:tc>
        <w:tc>
          <w:tcPr>
            <w:tcW w:w="3207" w:type="dxa"/>
          </w:tcPr>
          <w:p w14:paraId="57E30696" w14:textId="1523AD98" w:rsidR="00A256F8" w:rsidRDefault="00A256F8" w:rsidP="00A256F8">
            <w:pPr>
              <w:pStyle w:val="BodyText"/>
            </w:pPr>
            <w:r w:rsidRPr="009850C2">
              <w:rPr>
                <w:color w:val="0070C0"/>
              </w:rPr>
              <w:t>(1,1,1, 0, …, 0)</w:t>
            </w:r>
          </w:p>
        </w:tc>
      </w:tr>
      <w:tr w:rsidR="00A256F8" w14:paraId="3EADF1D0" w14:textId="77777777" w:rsidTr="00A256F8">
        <w:tc>
          <w:tcPr>
            <w:tcW w:w="3206" w:type="dxa"/>
          </w:tcPr>
          <w:p w14:paraId="4DC6D506" w14:textId="77777777" w:rsidR="00A256F8" w:rsidRDefault="00A256F8" w:rsidP="00A256F8">
            <w:pPr>
              <w:pStyle w:val="BodyText"/>
            </w:pPr>
            <w:r>
              <w:t>(0,0,1,0,0,0)</w:t>
            </w:r>
          </w:p>
        </w:tc>
        <w:tc>
          <w:tcPr>
            <w:tcW w:w="3207" w:type="dxa"/>
          </w:tcPr>
          <w:p w14:paraId="5FE7181A" w14:textId="77777777" w:rsidR="00A256F8" w:rsidRDefault="00A256F8" w:rsidP="00A256F8">
            <w:pPr>
              <w:pStyle w:val="BodyText"/>
            </w:pPr>
            <w:r>
              <w:t>(1,0,1,0,0,0)</w:t>
            </w:r>
          </w:p>
        </w:tc>
        <w:tc>
          <w:tcPr>
            <w:tcW w:w="3207" w:type="dxa"/>
          </w:tcPr>
          <w:p w14:paraId="3F947DE1" w14:textId="167F16D6" w:rsidR="00A256F8" w:rsidRDefault="00A256F8" w:rsidP="00A256F8">
            <w:pPr>
              <w:pStyle w:val="BodyText"/>
            </w:pPr>
            <w:r>
              <w:t>(1, 0, 0, …, 0)</w:t>
            </w:r>
          </w:p>
        </w:tc>
      </w:tr>
      <w:tr w:rsidR="00A256F8" w14:paraId="412CFF6E" w14:textId="77777777" w:rsidTr="00A256F8">
        <w:tc>
          <w:tcPr>
            <w:tcW w:w="3206" w:type="dxa"/>
          </w:tcPr>
          <w:p w14:paraId="32228092" w14:textId="5D7DA288" w:rsidR="00A256F8" w:rsidRDefault="00A256F8" w:rsidP="00A256F8">
            <w:pPr>
              <w:pStyle w:val="BodyText"/>
            </w:pPr>
            <w:r>
              <w:t>(1,0,1,0,0,0)</w:t>
            </w:r>
          </w:p>
        </w:tc>
        <w:tc>
          <w:tcPr>
            <w:tcW w:w="3207" w:type="dxa"/>
          </w:tcPr>
          <w:p w14:paraId="70AB29DE" w14:textId="43BD5E16" w:rsidR="00A256F8" w:rsidRDefault="00A256F8" w:rsidP="00A256F8">
            <w:pPr>
              <w:pStyle w:val="BodyText"/>
            </w:pPr>
            <w:r>
              <w:t>(0,1,1,0,0,0)</w:t>
            </w:r>
          </w:p>
        </w:tc>
        <w:tc>
          <w:tcPr>
            <w:tcW w:w="3207" w:type="dxa"/>
          </w:tcPr>
          <w:p w14:paraId="717218C4" w14:textId="0A2BB745" w:rsidR="00A256F8" w:rsidRDefault="00A256F8" w:rsidP="00A256F8">
            <w:pPr>
              <w:pStyle w:val="BodyText"/>
            </w:pPr>
            <w:r>
              <w:t>(1, 1, 0, …, 0)</w:t>
            </w:r>
          </w:p>
        </w:tc>
      </w:tr>
      <w:tr w:rsidR="00A256F8" w14:paraId="71A13063" w14:textId="77777777" w:rsidTr="00A256F8">
        <w:tc>
          <w:tcPr>
            <w:tcW w:w="3206" w:type="dxa"/>
          </w:tcPr>
          <w:p w14:paraId="71049953" w14:textId="1B30618F" w:rsidR="00A256F8" w:rsidRDefault="00A256F8" w:rsidP="00A256F8">
            <w:pPr>
              <w:pStyle w:val="BodyText"/>
            </w:pPr>
            <w:r>
              <w:t>(0,1,1,0,0,0)</w:t>
            </w:r>
          </w:p>
        </w:tc>
        <w:tc>
          <w:tcPr>
            <w:tcW w:w="3207" w:type="dxa"/>
          </w:tcPr>
          <w:p w14:paraId="587AF0C0" w14:textId="2E969C62" w:rsidR="00A256F8" w:rsidRDefault="00A256F8" w:rsidP="00A256F8">
            <w:pPr>
              <w:pStyle w:val="BodyText"/>
            </w:pPr>
            <w:r>
              <w:t>(1,1,1,0,0,0)</w:t>
            </w:r>
          </w:p>
        </w:tc>
        <w:tc>
          <w:tcPr>
            <w:tcW w:w="3207" w:type="dxa"/>
          </w:tcPr>
          <w:p w14:paraId="7F72C94B" w14:textId="44AB9773" w:rsidR="00A256F8" w:rsidRDefault="00A256F8" w:rsidP="00A256F8">
            <w:pPr>
              <w:pStyle w:val="BodyText"/>
            </w:pPr>
            <w:r>
              <w:t>(1, 0, …, 0)</w:t>
            </w:r>
          </w:p>
        </w:tc>
      </w:tr>
      <w:tr w:rsidR="00A256F8" w14:paraId="50568291" w14:textId="77777777" w:rsidTr="00A256F8">
        <w:tc>
          <w:tcPr>
            <w:tcW w:w="3206" w:type="dxa"/>
          </w:tcPr>
          <w:p w14:paraId="5BE82FE7" w14:textId="4B88E747" w:rsidR="00A256F8" w:rsidRDefault="00A256F8" w:rsidP="00A256F8">
            <w:pPr>
              <w:pStyle w:val="BodyText"/>
            </w:pPr>
            <w:r>
              <w:t>(1,1,1,0,0,0)</w:t>
            </w:r>
          </w:p>
        </w:tc>
        <w:tc>
          <w:tcPr>
            <w:tcW w:w="3207" w:type="dxa"/>
          </w:tcPr>
          <w:p w14:paraId="75828DFA" w14:textId="5288F328" w:rsidR="00A256F8" w:rsidRDefault="00A256F8" w:rsidP="00A256F8">
            <w:pPr>
              <w:pStyle w:val="BodyText"/>
            </w:pPr>
            <w:r>
              <w:t>(0,0,0,1,0,0)</w:t>
            </w:r>
          </w:p>
        </w:tc>
        <w:tc>
          <w:tcPr>
            <w:tcW w:w="3207" w:type="dxa"/>
          </w:tcPr>
          <w:p w14:paraId="2C8DA097" w14:textId="51D4B7F6" w:rsidR="00A256F8" w:rsidRDefault="00A256F8" w:rsidP="00A256F8">
            <w:pPr>
              <w:pStyle w:val="BodyText"/>
            </w:pPr>
            <w:r w:rsidRPr="009850C2">
              <w:rPr>
                <w:color w:val="0070C0"/>
              </w:rPr>
              <w:t>(1, 1, 1, 1, 0, …, 0)</w:t>
            </w:r>
          </w:p>
        </w:tc>
      </w:tr>
      <w:tr w:rsidR="00A256F8" w14:paraId="03F25FA7" w14:textId="77777777" w:rsidTr="00A256F8">
        <w:tc>
          <w:tcPr>
            <w:tcW w:w="3206" w:type="dxa"/>
          </w:tcPr>
          <w:p w14:paraId="39680C4F" w14:textId="1FB7B87F" w:rsidR="00A256F8" w:rsidRDefault="00A256F8" w:rsidP="00A256F8">
            <w:pPr>
              <w:pStyle w:val="BodyText"/>
            </w:pPr>
            <w:r>
              <w:t>……..</w:t>
            </w:r>
          </w:p>
        </w:tc>
        <w:tc>
          <w:tcPr>
            <w:tcW w:w="3207" w:type="dxa"/>
          </w:tcPr>
          <w:p w14:paraId="67AD105C" w14:textId="3164C84B" w:rsidR="00A256F8" w:rsidRDefault="00A256F8" w:rsidP="00A256F8">
            <w:pPr>
              <w:pStyle w:val="BodyText"/>
            </w:pPr>
            <w:r>
              <w:t>……..</w:t>
            </w:r>
          </w:p>
        </w:tc>
        <w:tc>
          <w:tcPr>
            <w:tcW w:w="3207" w:type="dxa"/>
          </w:tcPr>
          <w:p w14:paraId="75597535" w14:textId="3D9BBDAA" w:rsidR="00A256F8" w:rsidRDefault="00A256F8" w:rsidP="00A256F8">
            <w:pPr>
              <w:pStyle w:val="BodyText"/>
            </w:pPr>
            <w:r>
              <w:t>……..</w:t>
            </w:r>
          </w:p>
        </w:tc>
      </w:tr>
      <w:tr w:rsidR="00A256F8" w14:paraId="6A31A393" w14:textId="77777777" w:rsidTr="00A256F8">
        <w:tc>
          <w:tcPr>
            <w:tcW w:w="3206" w:type="dxa"/>
          </w:tcPr>
          <w:p w14:paraId="1ABA1C0A" w14:textId="455F8289" w:rsidR="00A256F8" w:rsidRDefault="00A256F8" w:rsidP="00A256F8">
            <w:pPr>
              <w:pStyle w:val="BodyText"/>
            </w:pPr>
            <w:r>
              <w:t>(1,1,1,1,0,0)</w:t>
            </w:r>
          </w:p>
        </w:tc>
        <w:tc>
          <w:tcPr>
            <w:tcW w:w="3207" w:type="dxa"/>
          </w:tcPr>
          <w:p w14:paraId="70D26793" w14:textId="7A342A27" w:rsidR="00A256F8" w:rsidRDefault="00A256F8" w:rsidP="00A256F8">
            <w:pPr>
              <w:pStyle w:val="BodyText"/>
            </w:pPr>
            <w:r>
              <w:t>(0,0,0,0,1,0)</w:t>
            </w:r>
          </w:p>
        </w:tc>
        <w:tc>
          <w:tcPr>
            <w:tcW w:w="3207" w:type="dxa"/>
          </w:tcPr>
          <w:p w14:paraId="52DC583B" w14:textId="3DC7D14A" w:rsidR="00A256F8" w:rsidRDefault="00A256F8" w:rsidP="00A256F8">
            <w:pPr>
              <w:pStyle w:val="BodyText"/>
            </w:pPr>
            <w:r w:rsidRPr="009850C2">
              <w:rPr>
                <w:color w:val="0070C0"/>
              </w:rPr>
              <w:t>(1, 1, 1, 1, 1, 0, …, 0)</w:t>
            </w:r>
          </w:p>
        </w:tc>
      </w:tr>
      <w:tr w:rsidR="00A256F8" w14:paraId="7929CFB9" w14:textId="77777777" w:rsidTr="00A256F8">
        <w:tc>
          <w:tcPr>
            <w:tcW w:w="3206" w:type="dxa"/>
          </w:tcPr>
          <w:p w14:paraId="35DDF0AF" w14:textId="595AF52B" w:rsidR="00A256F8" w:rsidRDefault="00A256F8" w:rsidP="00A256F8">
            <w:pPr>
              <w:pStyle w:val="BodyText"/>
            </w:pPr>
            <w:r>
              <w:t>……..</w:t>
            </w:r>
          </w:p>
        </w:tc>
        <w:tc>
          <w:tcPr>
            <w:tcW w:w="3207" w:type="dxa"/>
          </w:tcPr>
          <w:p w14:paraId="1E67419E" w14:textId="117C657D" w:rsidR="00A256F8" w:rsidRDefault="00A256F8" w:rsidP="00A256F8">
            <w:pPr>
              <w:pStyle w:val="BodyText"/>
            </w:pPr>
            <w:r>
              <w:t>……..</w:t>
            </w:r>
          </w:p>
        </w:tc>
        <w:tc>
          <w:tcPr>
            <w:tcW w:w="3207" w:type="dxa"/>
          </w:tcPr>
          <w:p w14:paraId="7A4D0E48" w14:textId="6C4E3158" w:rsidR="00A256F8" w:rsidRDefault="00A256F8" w:rsidP="00A256F8">
            <w:pPr>
              <w:pStyle w:val="BodyText"/>
            </w:pPr>
            <w:r>
              <w:t>……..</w:t>
            </w:r>
          </w:p>
        </w:tc>
      </w:tr>
      <w:tr w:rsidR="00A256F8" w14:paraId="3A5A1E9E" w14:textId="77777777" w:rsidTr="00A256F8">
        <w:tc>
          <w:tcPr>
            <w:tcW w:w="3206" w:type="dxa"/>
          </w:tcPr>
          <w:p w14:paraId="22257014" w14:textId="0C297F66" w:rsidR="00A256F8" w:rsidRDefault="00A256F8" w:rsidP="00A256F8">
            <w:pPr>
              <w:pStyle w:val="BodyText"/>
            </w:pPr>
            <w:r>
              <w:t>(1,1,1,1,1,0)</w:t>
            </w:r>
          </w:p>
        </w:tc>
        <w:tc>
          <w:tcPr>
            <w:tcW w:w="3207" w:type="dxa"/>
          </w:tcPr>
          <w:p w14:paraId="11497F24" w14:textId="7B430C3F" w:rsidR="00A256F8" w:rsidRDefault="00A256F8" w:rsidP="00A256F8">
            <w:pPr>
              <w:pStyle w:val="BodyText"/>
            </w:pPr>
            <w:r>
              <w:t>(0,0,0,0,0,1)</w:t>
            </w:r>
          </w:p>
        </w:tc>
        <w:tc>
          <w:tcPr>
            <w:tcW w:w="3207" w:type="dxa"/>
          </w:tcPr>
          <w:p w14:paraId="4B9F53AE" w14:textId="3D3E3B2A" w:rsidR="00A256F8" w:rsidRPr="009850C2" w:rsidRDefault="00A256F8" w:rsidP="00A256F8">
            <w:pPr>
              <w:pStyle w:val="BodyText"/>
              <w:rPr>
                <w:color w:val="0070C0"/>
              </w:rPr>
            </w:pPr>
            <w:r w:rsidRPr="009850C2">
              <w:rPr>
                <w:color w:val="0070C0"/>
              </w:rPr>
              <w:t>(1, 1, 1, 1, 1, 1, 1, …, 0)</w:t>
            </w:r>
          </w:p>
        </w:tc>
      </w:tr>
    </w:tbl>
    <w:p w14:paraId="2334C275" w14:textId="77777777" w:rsidR="00A256F8" w:rsidRPr="00966383" w:rsidRDefault="00A256F8" w:rsidP="00966383">
      <w:pPr>
        <w:rPr>
          <w:rFonts w:ascii="Arial" w:hAnsi="Arial" w:cs="Arial"/>
          <w:sz w:val="20"/>
          <w:szCs w:val="20"/>
        </w:rPr>
      </w:pPr>
    </w:p>
    <w:p w14:paraId="11980279" w14:textId="7F13D2E5" w:rsidR="009C4D76" w:rsidRPr="00F81C10" w:rsidRDefault="009C4D76" w:rsidP="00F81C10">
      <w:pPr>
        <w:spacing w:before="180" w:after="180"/>
        <w:rPr>
          <w:b/>
          <w:i/>
        </w:rPr>
      </w:pPr>
      <w:r w:rsidRPr="00F81C10">
        <w:rPr>
          <w:b/>
          <w:i/>
        </w:rPr>
        <w:t>Observation 3: Exploiting the linear code properties of CRC and TBCC, joint decoding across multiple NPBCH TTI’s can be done by simply applying a</w:t>
      </w:r>
      <w:r w:rsidR="00240532" w:rsidRPr="00F81C10">
        <w:rPr>
          <w:b/>
          <w:i/>
        </w:rPr>
        <w:t>n appropriate</w:t>
      </w:r>
      <w:r w:rsidRPr="00F81C10">
        <w:rPr>
          <w:b/>
          <w:i/>
        </w:rPr>
        <w:t xml:space="preserve"> descrambling mask to the bit soft values before combining the TBCC codewords across multiple TTIs.</w:t>
      </w:r>
    </w:p>
    <w:p w14:paraId="067770CD" w14:textId="61017394" w:rsidR="009C4D76" w:rsidRDefault="00240532" w:rsidP="00633EFB">
      <w:pPr>
        <w:pStyle w:val="BodyText"/>
      </w:pPr>
      <w:r>
        <w:t>In our view, using m</w:t>
      </w:r>
      <w:r w:rsidRPr="00240532">
        <w:t xml:space="preserve">ore sophisticated </w:t>
      </w:r>
      <w:r>
        <w:t xml:space="preserve">NPBCH </w:t>
      </w:r>
      <w:r w:rsidRPr="00240532">
        <w:t>receivers</w:t>
      </w:r>
      <w:r>
        <w:t xml:space="preserve"> is the most attractive solution as it does not require additional signaling and thus not giving rise to any additional signaling overheads.</w:t>
      </w:r>
    </w:p>
    <w:p w14:paraId="5E5979E2" w14:textId="4A4C49F5" w:rsidR="00194D02" w:rsidRDefault="00FC278C" w:rsidP="00FC278C">
      <w:pPr>
        <w:pStyle w:val="Heading1"/>
      </w:pPr>
      <w:r w:rsidRPr="00FC278C">
        <w:t>New mechanism allowing to skip MIB-NB</w:t>
      </w:r>
      <w:r w:rsidR="00BB0465">
        <w:t xml:space="preserve"> and SIB1-NB</w:t>
      </w:r>
      <w:r w:rsidRPr="00FC278C">
        <w:t xml:space="preserve"> reading</w:t>
      </w:r>
    </w:p>
    <w:p w14:paraId="7739DB2E" w14:textId="5EB37D60" w:rsidR="00127903" w:rsidRDefault="00BB0465" w:rsidP="00633EFB">
      <w:pPr>
        <w:pStyle w:val="BodyText"/>
      </w:pPr>
      <w:r>
        <w:t>Since MIB-NB and SI rarely change (except for SIB14</w:t>
      </w:r>
      <w:r w:rsidR="00AA7EDD">
        <w:t>-NB</w:t>
      </w:r>
      <w:r>
        <w:t xml:space="preserve"> and SIB16), one way to allow the UE to skip reacquiring MIB-NB and SI that will remain unchanged is </w:t>
      </w:r>
      <w:r w:rsidR="000F4D52">
        <w:t xml:space="preserve">to have eNB </w:t>
      </w:r>
      <w:r>
        <w:t xml:space="preserve">indicate </w:t>
      </w:r>
      <w:r w:rsidR="00EB6E2F">
        <w:t xml:space="preserve">a </w:t>
      </w:r>
      <w:r>
        <w:t xml:space="preserve">validity interval or the expiration time of MIB-NB and SI information. In the below discussion we will </w:t>
      </w:r>
      <w:r w:rsidR="00127903">
        <w:t>assume that cha</w:t>
      </w:r>
      <w:r w:rsidR="000F4D52">
        <w:t>nges of the AB flag, SIB</w:t>
      </w:r>
      <w:r w:rsidR="00EB6E2F">
        <w:t>14</w:t>
      </w:r>
      <w:r w:rsidR="005A5F6A">
        <w:t>-NB</w:t>
      </w:r>
      <w:r w:rsidR="000F4D52">
        <w:t xml:space="preserve">, </w:t>
      </w:r>
      <w:r w:rsidR="00127903">
        <w:t>SIB16</w:t>
      </w:r>
      <w:r w:rsidR="000F4D52">
        <w:t>,</w:t>
      </w:r>
      <w:r w:rsidR="00127903">
        <w:t xml:space="preserve"> SFN and H-SFN are not used to determine the MI/SI validity interval or expiration time</w:t>
      </w:r>
      <w:r w:rsidR="000F4D52">
        <w:t>. With such indication, if the UE wakes up within the MI/SI validity interval of the version that it has acquired previously, there is no need to reacquire the same information. In such scenarios, the UE only need</w:t>
      </w:r>
      <w:r w:rsidR="00E16F8D">
        <w:t>s</w:t>
      </w:r>
      <w:r w:rsidR="000F4D52">
        <w:t xml:space="preserve"> to acquire AB flag, SFN and H-SFN. To support this method, there are two issues that need to be addressed.</w:t>
      </w:r>
    </w:p>
    <w:p w14:paraId="0766DF8D" w14:textId="3B6A68D9" w:rsidR="000F4D52" w:rsidRPr="00633EFB" w:rsidRDefault="000F4D52" w:rsidP="00633EFB">
      <w:pPr>
        <w:pStyle w:val="BodyText"/>
        <w:numPr>
          <w:ilvl w:val="0"/>
          <w:numId w:val="40"/>
        </w:numPr>
      </w:pPr>
      <w:r w:rsidRPr="00633EFB">
        <w:t>How does the net</w:t>
      </w:r>
      <w:r w:rsidR="005F5F23" w:rsidRPr="00633EFB">
        <w:t>work signal the MI/SI validity interval or expiration time?</w:t>
      </w:r>
    </w:p>
    <w:p w14:paraId="7C4517FB" w14:textId="26DDBA19" w:rsidR="005F5F23" w:rsidRPr="00633EFB" w:rsidRDefault="00E16F8D" w:rsidP="00EB6E2F">
      <w:pPr>
        <w:pStyle w:val="BodyText"/>
        <w:numPr>
          <w:ilvl w:val="0"/>
          <w:numId w:val="40"/>
        </w:numPr>
      </w:pPr>
      <w:r w:rsidRPr="00633EFB">
        <w:t xml:space="preserve">How does the UE acquire AB flag, SFN and H-SFN </w:t>
      </w:r>
      <w:r w:rsidR="00EB6E2F" w:rsidRPr="00EB6E2F">
        <w:t>without acquiring the full MIB-NB and SIB1-NB</w:t>
      </w:r>
      <w:r w:rsidRPr="00633EFB">
        <w:t>?</w:t>
      </w:r>
    </w:p>
    <w:p w14:paraId="7C2F691D" w14:textId="644D1DE1" w:rsidR="00E16F8D" w:rsidRDefault="00E16F8D" w:rsidP="00633EFB">
      <w:pPr>
        <w:pStyle w:val="BodyText"/>
      </w:pPr>
      <w:r>
        <w:t>We will discuss these issues below.</w:t>
      </w:r>
    </w:p>
    <w:p w14:paraId="7D8027FC" w14:textId="30144971" w:rsidR="00E16F8D" w:rsidRPr="00E16F8D" w:rsidRDefault="00E16F8D" w:rsidP="00E16F8D">
      <w:pPr>
        <w:pStyle w:val="Heading2"/>
      </w:pPr>
      <w:r>
        <w:t>S</w:t>
      </w:r>
      <w:r w:rsidRPr="00E16F8D">
        <w:t>ignal the MI/SI validity interval or expiration time</w:t>
      </w:r>
    </w:p>
    <w:p w14:paraId="341DF43C" w14:textId="5433110B" w:rsidR="00FC278C" w:rsidRPr="00633EFB" w:rsidRDefault="00E16F8D" w:rsidP="00FC278C">
      <w:pPr>
        <w:rPr>
          <w:rFonts w:ascii="Arial" w:eastAsia="Times New Roman" w:hAnsi="Arial"/>
          <w:sz w:val="20"/>
          <w:szCs w:val="20"/>
          <w:lang w:val="en-GB" w:eastAsia="zh-CN"/>
        </w:rPr>
      </w:pPr>
      <w:r w:rsidRPr="00633EFB">
        <w:rPr>
          <w:rFonts w:ascii="Arial" w:eastAsia="Times New Roman" w:hAnsi="Arial"/>
          <w:sz w:val="20"/>
          <w:szCs w:val="20"/>
          <w:lang w:val="en-GB" w:eastAsia="zh-CN"/>
        </w:rPr>
        <w:t xml:space="preserve">There are possibly many methods that can be used to signal the MI/SI validity interval or expiration time. We suggest </w:t>
      </w:r>
      <w:r w:rsidR="0037062D">
        <w:rPr>
          <w:rFonts w:ascii="Arial" w:eastAsia="Times New Roman" w:hAnsi="Arial"/>
          <w:sz w:val="20"/>
          <w:szCs w:val="20"/>
          <w:lang w:val="en-GB" w:eastAsia="zh-CN"/>
        </w:rPr>
        <w:t>a possible solution below.</w:t>
      </w:r>
    </w:p>
    <w:p w14:paraId="78A8856E" w14:textId="1BC76DEF" w:rsidR="00840A9C" w:rsidRDefault="00840A9C" w:rsidP="00633EFB">
      <w:pPr>
        <w:jc w:val="both"/>
        <w:rPr>
          <w:rFonts w:ascii="Arial" w:eastAsia="Times New Roman" w:hAnsi="Arial"/>
          <w:sz w:val="20"/>
          <w:szCs w:val="20"/>
          <w:lang w:val="en-GB" w:eastAsia="zh-CN"/>
        </w:rPr>
      </w:pPr>
      <w:r w:rsidRPr="00633EFB">
        <w:rPr>
          <w:rFonts w:ascii="Arial" w:eastAsia="Times New Roman" w:hAnsi="Arial"/>
          <w:sz w:val="20"/>
          <w:szCs w:val="20"/>
          <w:lang w:val="en-GB" w:eastAsia="zh-CN"/>
        </w:rPr>
        <w:t xml:space="preserve">A new system information type can be defined to indicate MI/SI validity interval or expiration time. One possible format is to use GPS time or Coordinated Universal Time (UTC). A UE can acquire GPS and UTC time from SIB16 to establish its real-time clock. A new SIB-X can </w:t>
      </w:r>
      <w:r w:rsidR="00BA17DC" w:rsidRPr="00633EFB">
        <w:rPr>
          <w:rFonts w:ascii="Arial" w:eastAsia="Times New Roman" w:hAnsi="Arial"/>
          <w:sz w:val="20"/>
          <w:szCs w:val="20"/>
          <w:lang w:val="en-GB" w:eastAsia="zh-CN"/>
        </w:rPr>
        <w:t xml:space="preserve">then </w:t>
      </w:r>
      <w:r w:rsidRPr="00633EFB">
        <w:rPr>
          <w:rFonts w:ascii="Arial" w:eastAsia="Times New Roman" w:hAnsi="Arial"/>
          <w:sz w:val="20"/>
          <w:szCs w:val="20"/>
          <w:lang w:val="en-GB" w:eastAsia="zh-CN"/>
        </w:rPr>
        <w:t xml:space="preserve">be used to indicate the GPS or UTC time that the current MI/SI will expire. The format of SIB-X can be similar to the UTC format used in SIB-16. However, in SIB16 the time resolution is 10 ms. For SIB-X, much coarse time resolution can be used to reduce the number of bits needed to represent the UTC time. One possibility is to quantize </w:t>
      </w:r>
      <w:r w:rsidR="00BA17DC" w:rsidRPr="00633EFB">
        <w:rPr>
          <w:rFonts w:ascii="Arial" w:eastAsia="Times New Roman" w:hAnsi="Arial"/>
          <w:sz w:val="20"/>
          <w:szCs w:val="20"/>
          <w:lang w:val="en-GB" w:eastAsia="zh-CN"/>
        </w:rPr>
        <w:t xml:space="preserve">the UTC time with a resolution </w:t>
      </w:r>
      <w:r w:rsidR="00BA17DC" w:rsidRPr="00633EFB">
        <w:rPr>
          <w:rFonts w:ascii="Arial" w:eastAsia="Times New Roman" w:hAnsi="Arial"/>
          <w:sz w:val="20"/>
          <w:szCs w:val="20"/>
          <w:lang w:val="en-GB" w:eastAsia="zh-CN"/>
        </w:rPr>
        <w:lastRenderedPageBreak/>
        <w:t>equivalent to one or multiple SFN cycles. Also, the UTC time information in SIB16 includes year and month information. For SIB-X, it may not be necessary to include year and month information.</w:t>
      </w:r>
    </w:p>
    <w:p w14:paraId="376159F6" w14:textId="3DFDB489" w:rsidR="00B879A3" w:rsidRPr="00633EFB" w:rsidRDefault="0037062D" w:rsidP="00633EFB">
      <w:pPr>
        <w:jc w:val="both"/>
        <w:rPr>
          <w:rFonts w:ascii="Arial" w:eastAsia="Times New Roman" w:hAnsi="Arial"/>
          <w:sz w:val="20"/>
          <w:szCs w:val="20"/>
          <w:lang w:val="en-GB" w:eastAsia="zh-CN"/>
        </w:rPr>
      </w:pPr>
      <w:r>
        <w:rPr>
          <w:rFonts w:ascii="Arial" w:eastAsia="Times New Roman" w:hAnsi="Arial"/>
          <w:sz w:val="20"/>
          <w:szCs w:val="20"/>
          <w:lang w:val="en-GB" w:eastAsia="zh-CN"/>
        </w:rPr>
        <w:t>A UE can be notified of an</w:t>
      </w:r>
      <w:r w:rsidR="00CF72E6">
        <w:rPr>
          <w:rFonts w:ascii="Arial" w:eastAsia="Times New Roman" w:hAnsi="Arial"/>
          <w:sz w:val="20"/>
          <w:szCs w:val="20"/>
          <w:lang w:val="en-GB" w:eastAsia="zh-CN"/>
        </w:rPr>
        <w:t xml:space="preserve"> update of SIB-X</w:t>
      </w:r>
      <w:r w:rsidRPr="0037062D">
        <w:rPr>
          <w:rFonts w:ascii="Arial" w:eastAsia="Times New Roman" w:hAnsi="Arial"/>
          <w:sz w:val="20"/>
          <w:szCs w:val="20"/>
          <w:lang w:val="en-GB" w:eastAsia="zh-CN"/>
        </w:rPr>
        <w:t xml:space="preserve"> via SI update notification</w:t>
      </w:r>
      <w:r w:rsidR="00CF72E6">
        <w:rPr>
          <w:rFonts w:ascii="Arial" w:eastAsia="Times New Roman" w:hAnsi="Arial"/>
          <w:sz w:val="20"/>
          <w:szCs w:val="20"/>
          <w:lang w:val="en-GB" w:eastAsia="zh-CN"/>
        </w:rPr>
        <w:t xml:space="preserve">. Such an update </w:t>
      </w:r>
      <w:r w:rsidR="00CF72E6" w:rsidRPr="0037062D">
        <w:rPr>
          <w:rFonts w:ascii="Arial" w:eastAsia="Times New Roman" w:hAnsi="Arial"/>
          <w:sz w:val="20"/>
          <w:szCs w:val="20"/>
          <w:lang w:val="en-GB" w:eastAsia="zh-CN"/>
        </w:rPr>
        <w:t>notification</w:t>
      </w:r>
      <w:r w:rsidR="00CF72E6">
        <w:rPr>
          <w:rFonts w:ascii="Arial" w:eastAsia="Times New Roman" w:hAnsi="Arial"/>
          <w:sz w:val="20"/>
          <w:szCs w:val="20"/>
          <w:lang w:val="en-GB" w:eastAsia="zh-CN"/>
        </w:rPr>
        <w:t xml:space="preserve"> may be specific to SIB-X.</w:t>
      </w:r>
    </w:p>
    <w:p w14:paraId="5F1D11D8" w14:textId="6B714AE4" w:rsidR="00077B1B" w:rsidRPr="00CE7E26" w:rsidRDefault="00077B1B" w:rsidP="00CE7E26">
      <w:pPr>
        <w:spacing w:before="180" w:after="180"/>
        <w:rPr>
          <w:b/>
          <w:i/>
        </w:rPr>
      </w:pPr>
      <w:r w:rsidRPr="00CE7E26">
        <w:rPr>
          <w:b/>
          <w:i/>
        </w:rPr>
        <w:t xml:space="preserve">Proposal 2: eNB signaling the MI/SI validity interval or expiration time is considered. </w:t>
      </w:r>
      <w:r w:rsidR="00EB6E2F">
        <w:rPr>
          <w:b/>
          <w:i/>
        </w:rPr>
        <w:t xml:space="preserve">The MI/SI validity </w:t>
      </w:r>
      <w:r w:rsidR="00EB6E2F" w:rsidRPr="00CE7E26">
        <w:rPr>
          <w:b/>
          <w:i/>
        </w:rPr>
        <w:t xml:space="preserve">or expiration time </w:t>
      </w:r>
      <w:r w:rsidR="00EB6E2F">
        <w:rPr>
          <w:b/>
          <w:i/>
        </w:rPr>
        <w:t>is not affected by changes of the</w:t>
      </w:r>
      <w:r w:rsidR="00EB6E2F" w:rsidRPr="00EB6E2F">
        <w:t xml:space="preserve"> </w:t>
      </w:r>
      <w:r w:rsidR="00EB6E2F" w:rsidRPr="00EB6E2F">
        <w:rPr>
          <w:b/>
          <w:i/>
        </w:rPr>
        <w:t>AB flag, SFN and H-SFN</w:t>
      </w:r>
      <w:r w:rsidR="00EB6E2F">
        <w:rPr>
          <w:b/>
          <w:i/>
        </w:rPr>
        <w:t xml:space="preserve">. </w:t>
      </w:r>
      <w:r w:rsidRPr="00CE7E26">
        <w:rPr>
          <w:b/>
          <w:i/>
        </w:rPr>
        <w:t>The exact signaling method is FFS.</w:t>
      </w:r>
    </w:p>
    <w:p w14:paraId="04E54ED7" w14:textId="04ADE2FE" w:rsidR="00E16F8D" w:rsidRDefault="00674053" w:rsidP="00CE7E26">
      <w:pPr>
        <w:pStyle w:val="Heading2"/>
      </w:pPr>
      <w:r>
        <w:t xml:space="preserve">UE </w:t>
      </w:r>
      <w:r w:rsidRPr="00674053">
        <w:t>acquire AB flag, SFN and H-SFN</w:t>
      </w:r>
    </w:p>
    <w:p w14:paraId="39602F24" w14:textId="23390BFA" w:rsidR="00050CE3" w:rsidRPr="00633EFB" w:rsidRDefault="00674053" w:rsidP="00633EFB">
      <w:pPr>
        <w:jc w:val="both"/>
        <w:rPr>
          <w:rFonts w:ascii="Arial" w:eastAsia="Times New Roman" w:hAnsi="Arial"/>
          <w:sz w:val="20"/>
          <w:szCs w:val="20"/>
          <w:lang w:val="en-GB" w:eastAsia="zh-CN"/>
        </w:rPr>
      </w:pPr>
      <w:r w:rsidRPr="00633EFB">
        <w:rPr>
          <w:rFonts w:ascii="Arial" w:eastAsia="Times New Roman" w:hAnsi="Arial"/>
          <w:sz w:val="20"/>
          <w:szCs w:val="20"/>
          <w:lang w:val="en-GB" w:eastAsia="zh-CN"/>
        </w:rPr>
        <w:t xml:space="preserve">In our view, system acquisition time reduction needs to </w:t>
      </w:r>
      <w:r w:rsidR="005A2DC7" w:rsidRPr="00633EFB">
        <w:rPr>
          <w:rFonts w:ascii="Arial" w:eastAsia="Times New Roman" w:hAnsi="Arial"/>
          <w:sz w:val="20"/>
          <w:szCs w:val="20"/>
          <w:lang w:val="en-GB" w:eastAsia="zh-CN"/>
        </w:rPr>
        <w:t>allow certain configurations to support</w:t>
      </w:r>
      <w:r w:rsidRPr="00633EFB">
        <w:rPr>
          <w:rFonts w:ascii="Arial" w:eastAsia="Times New Roman" w:hAnsi="Arial"/>
          <w:sz w:val="20"/>
          <w:szCs w:val="20"/>
          <w:lang w:val="en-GB" w:eastAsia="zh-CN"/>
        </w:rPr>
        <w:t xml:space="preserve"> use cases that requires long battery lifetime (e.g. 10-15 years) and </w:t>
      </w:r>
      <w:r w:rsidR="005A2DC7" w:rsidRPr="00633EFB">
        <w:rPr>
          <w:rFonts w:ascii="Arial" w:eastAsia="Times New Roman" w:hAnsi="Arial"/>
          <w:sz w:val="20"/>
          <w:szCs w:val="20"/>
          <w:lang w:val="en-GB" w:eastAsia="zh-CN"/>
        </w:rPr>
        <w:t>10</w:t>
      </w:r>
      <w:r w:rsidRPr="00633EFB">
        <w:rPr>
          <w:rFonts w:ascii="Arial" w:eastAsia="Times New Roman" w:hAnsi="Arial"/>
          <w:sz w:val="20"/>
          <w:szCs w:val="20"/>
          <w:lang w:val="en-GB" w:eastAsia="zh-CN"/>
        </w:rPr>
        <w:t>s</w:t>
      </w:r>
      <w:r w:rsidR="006C4E4F" w:rsidRPr="00633EFB">
        <w:rPr>
          <w:rFonts w:ascii="Arial" w:eastAsia="Times New Roman" w:hAnsi="Arial"/>
          <w:sz w:val="20"/>
          <w:szCs w:val="20"/>
          <w:lang w:val="en-GB" w:eastAsia="zh-CN"/>
        </w:rPr>
        <w:t xml:space="preserve"> latency for Exception report [4</w:t>
      </w:r>
      <w:r w:rsidRPr="00633EFB">
        <w:rPr>
          <w:rFonts w:ascii="Arial" w:eastAsia="Times New Roman" w:hAnsi="Arial"/>
          <w:sz w:val="20"/>
          <w:szCs w:val="20"/>
          <w:lang w:val="en-GB" w:eastAsia="zh-CN"/>
        </w:rPr>
        <w:t>].</w:t>
      </w:r>
      <w:r w:rsidR="005A2DC7" w:rsidRPr="00633EFB">
        <w:rPr>
          <w:rFonts w:ascii="Arial" w:eastAsia="Times New Roman" w:hAnsi="Arial"/>
          <w:sz w:val="20"/>
          <w:szCs w:val="20"/>
          <w:lang w:val="en-GB" w:eastAsia="zh-CN"/>
        </w:rPr>
        <w:t xml:space="preserve"> However, it is not necessary for a solution to cater for use cases that only transmit data less frequently than</w:t>
      </w:r>
      <w:r w:rsidR="00EB6E2F">
        <w:rPr>
          <w:rFonts w:ascii="Arial" w:eastAsia="Times New Roman" w:hAnsi="Arial"/>
          <w:sz w:val="20"/>
          <w:szCs w:val="20"/>
          <w:lang w:val="en-GB" w:eastAsia="zh-CN"/>
        </w:rPr>
        <w:t>, e.g.,</w:t>
      </w:r>
      <w:r w:rsidR="005A2DC7" w:rsidRPr="00633EFB">
        <w:rPr>
          <w:rFonts w:ascii="Arial" w:eastAsia="Times New Roman" w:hAnsi="Arial"/>
          <w:sz w:val="20"/>
          <w:szCs w:val="20"/>
          <w:lang w:val="en-GB" w:eastAsia="zh-CN"/>
        </w:rPr>
        <w:t xml:space="preserve"> once every </w:t>
      </w:r>
      <w:r w:rsidR="00D84E67" w:rsidRPr="00633EFB">
        <w:rPr>
          <w:rFonts w:ascii="Arial" w:eastAsia="Times New Roman" w:hAnsi="Arial"/>
          <w:sz w:val="20"/>
          <w:szCs w:val="20"/>
          <w:lang w:val="en-GB" w:eastAsia="zh-CN"/>
        </w:rPr>
        <w:t>three</w:t>
      </w:r>
      <w:r w:rsidR="005A2DC7" w:rsidRPr="00633EFB">
        <w:rPr>
          <w:rFonts w:ascii="Arial" w:eastAsia="Times New Roman" w:hAnsi="Arial"/>
          <w:sz w:val="20"/>
          <w:szCs w:val="20"/>
          <w:lang w:val="en-GB" w:eastAsia="zh-CN"/>
        </w:rPr>
        <w:t xml:space="preserve"> day</w:t>
      </w:r>
      <w:r w:rsidR="00D84E67" w:rsidRPr="00633EFB">
        <w:rPr>
          <w:rFonts w:ascii="Arial" w:eastAsia="Times New Roman" w:hAnsi="Arial"/>
          <w:sz w:val="20"/>
          <w:szCs w:val="20"/>
          <w:lang w:val="en-GB" w:eastAsia="zh-CN"/>
        </w:rPr>
        <w:t>s</w:t>
      </w:r>
      <w:r w:rsidR="00EB6E2F">
        <w:rPr>
          <w:rFonts w:ascii="Arial" w:eastAsia="Times New Roman" w:hAnsi="Arial"/>
          <w:sz w:val="20"/>
          <w:szCs w:val="20"/>
          <w:lang w:val="en-GB" w:eastAsia="zh-CN"/>
        </w:rPr>
        <w:t>.</w:t>
      </w:r>
      <w:r w:rsidR="005A2DC7" w:rsidRPr="00633EFB">
        <w:rPr>
          <w:rFonts w:ascii="Arial" w:eastAsia="Times New Roman" w:hAnsi="Arial"/>
          <w:sz w:val="20"/>
          <w:szCs w:val="20"/>
          <w:lang w:val="en-GB" w:eastAsia="zh-CN"/>
        </w:rPr>
        <w:t xml:space="preserve"> </w:t>
      </w:r>
      <w:r w:rsidR="00EB6E2F">
        <w:rPr>
          <w:rFonts w:ascii="Arial" w:eastAsia="Times New Roman" w:hAnsi="Arial"/>
          <w:sz w:val="20"/>
          <w:szCs w:val="20"/>
          <w:lang w:val="en-GB" w:eastAsia="zh-CN"/>
        </w:rPr>
        <w:t>For</w:t>
      </w:r>
      <w:r w:rsidR="005A2DC7" w:rsidRPr="00633EFB">
        <w:rPr>
          <w:rFonts w:ascii="Arial" w:eastAsia="Times New Roman" w:hAnsi="Arial"/>
          <w:sz w:val="20"/>
          <w:szCs w:val="20"/>
          <w:lang w:val="en-GB" w:eastAsia="zh-CN"/>
        </w:rPr>
        <w:t xml:space="preserve"> use cases</w:t>
      </w:r>
      <w:r w:rsidR="00EB6E2F">
        <w:rPr>
          <w:rFonts w:ascii="Arial" w:eastAsia="Times New Roman" w:hAnsi="Arial"/>
          <w:sz w:val="20"/>
          <w:szCs w:val="20"/>
          <w:lang w:eastAsia="zh-CN"/>
        </w:rPr>
        <w:t xml:space="preserve"> with very infrequent data transmissions</w:t>
      </w:r>
      <w:r w:rsidR="005A2DC7" w:rsidRPr="00633EFB">
        <w:rPr>
          <w:rFonts w:ascii="Arial" w:eastAsia="Times New Roman" w:hAnsi="Arial"/>
          <w:sz w:val="20"/>
          <w:szCs w:val="20"/>
          <w:lang w:val="en-GB" w:eastAsia="zh-CN"/>
        </w:rPr>
        <w:t>, 15 years battery lifetime can already be achieved without further system acquisition time reduction.</w:t>
      </w:r>
      <w:r w:rsidR="00D84E67" w:rsidRPr="00633EFB">
        <w:rPr>
          <w:rFonts w:ascii="Arial" w:eastAsia="Times New Roman" w:hAnsi="Arial"/>
          <w:sz w:val="20"/>
          <w:szCs w:val="20"/>
          <w:lang w:val="en-GB" w:eastAsia="zh-CN"/>
        </w:rPr>
        <w:t xml:space="preserve"> Consider 20 ppm oscillator accuracy, the UE clock may be off by</w:t>
      </w:r>
      <w:r w:rsidR="00CF6F14" w:rsidRPr="00633EFB">
        <w:rPr>
          <w:rFonts w:ascii="Arial" w:eastAsia="Times New Roman" w:hAnsi="Arial"/>
          <w:sz w:val="20"/>
          <w:szCs w:val="20"/>
          <w:lang w:val="en-GB" w:eastAsia="zh-CN"/>
        </w:rPr>
        <w:t xml:space="preserve"> approximately </w:t>
      </w:r>
      <m:oMath>
        <m:r>
          <m:rPr>
            <m:sty m:val="p"/>
          </m:rPr>
          <w:rPr>
            <w:rFonts w:ascii="Cambria Math" w:eastAsia="Times New Roman" w:hAnsi="Cambria Math"/>
            <w:sz w:val="20"/>
            <w:szCs w:val="20"/>
            <w:lang w:val="en-GB" w:eastAsia="zh-CN"/>
          </w:rPr>
          <m:t>±5120</m:t>
        </m:r>
      </m:oMath>
      <w:r w:rsidR="00D84E67" w:rsidRPr="00633EFB">
        <w:rPr>
          <w:rFonts w:ascii="Arial" w:eastAsia="Times New Roman" w:hAnsi="Arial"/>
          <w:sz w:val="20"/>
          <w:szCs w:val="20"/>
          <w:lang w:val="en-GB" w:eastAsia="zh-CN"/>
        </w:rPr>
        <w:t xml:space="preserve"> </w:t>
      </w:r>
      <w:r w:rsidR="00CF6F14" w:rsidRPr="00633EFB">
        <w:rPr>
          <w:rFonts w:ascii="Arial" w:eastAsia="Times New Roman" w:hAnsi="Arial"/>
          <w:sz w:val="20"/>
          <w:szCs w:val="20"/>
          <w:lang w:val="en-GB" w:eastAsia="zh-CN"/>
        </w:rPr>
        <w:t xml:space="preserve">ms </w:t>
      </w:r>
      <w:r w:rsidR="00D84E67" w:rsidRPr="00633EFB">
        <w:rPr>
          <w:rFonts w:ascii="Arial" w:eastAsia="Times New Roman" w:hAnsi="Arial"/>
          <w:sz w:val="20"/>
          <w:szCs w:val="20"/>
          <w:lang w:val="en-GB" w:eastAsia="zh-CN"/>
        </w:rPr>
        <w:t xml:space="preserve">in 3 days. Thus, if the UE comes back to the network after 3 days, it needs </w:t>
      </w:r>
      <w:r w:rsidR="00050CE3" w:rsidRPr="00633EFB">
        <w:rPr>
          <w:rFonts w:ascii="Arial" w:eastAsia="Times New Roman" w:hAnsi="Arial"/>
          <w:sz w:val="20"/>
          <w:szCs w:val="20"/>
          <w:lang w:val="en-GB" w:eastAsia="zh-CN"/>
        </w:rPr>
        <w:t>to resolve this</w:t>
      </w:r>
      <w:r w:rsidR="00D84E67" w:rsidRPr="00633EFB">
        <w:rPr>
          <w:rFonts w:ascii="Arial" w:eastAsia="Times New Roman" w:hAnsi="Arial"/>
          <w:sz w:val="20"/>
          <w:szCs w:val="20"/>
          <w:lang w:val="en-GB" w:eastAsia="zh-CN"/>
        </w:rPr>
        <w:t xml:space="preserve"> time ambiguity</w:t>
      </w:r>
      <w:r w:rsidR="00050CE3" w:rsidRPr="00633EFB">
        <w:rPr>
          <w:rFonts w:ascii="Arial" w:eastAsia="Times New Roman" w:hAnsi="Arial"/>
          <w:sz w:val="20"/>
          <w:szCs w:val="20"/>
          <w:lang w:val="en-GB" w:eastAsia="zh-CN"/>
        </w:rPr>
        <w:t xml:space="preserve">. </w:t>
      </w:r>
      <w:r w:rsidR="00186EB2" w:rsidRPr="00633EFB">
        <w:rPr>
          <w:rFonts w:ascii="Arial" w:eastAsia="Times New Roman" w:hAnsi="Arial"/>
          <w:sz w:val="20"/>
          <w:szCs w:val="20"/>
          <w:lang w:val="en-GB" w:eastAsia="zh-CN"/>
        </w:rPr>
        <w:t>This</w:t>
      </w:r>
      <w:r w:rsidR="00050CE3" w:rsidRPr="00633EFB">
        <w:rPr>
          <w:rFonts w:ascii="Arial" w:eastAsia="Times New Roman" w:hAnsi="Arial"/>
          <w:sz w:val="20"/>
          <w:szCs w:val="20"/>
          <w:lang w:val="en-GB" w:eastAsia="zh-CN"/>
        </w:rPr>
        <w:t xml:space="preserve"> uncertainly window matches the duration of one SFN cycle, and thus it takes 10 bits SFN representation to resolve the time ambiguity. The UE will go through the steps of NPSS and NSSS synchronization, and after these two steps it achieves synchronization to 80-ms framing in the system frame structure, i.e. it acquires the 3 LSBs</w:t>
      </w:r>
      <w:r w:rsidR="00186EB2" w:rsidRPr="00633EFB">
        <w:rPr>
          <w:rFonts w:ascii="Arial" w:eastAsia="Times New Roman" w:hAnsi="Arial"/>
          <w:sz w:val="20"/>
          <w:szCs w:val="20"/>
          <w:lang w:val="en-GB" w:eastAsia="zh-CN"/>
        </w:rPr>
        <w:t xml:space="preserve"> of SFN</w:t>
      </w:r>
      <w:r w:rsidR="00050CE3" w:rsidRPr="00633EFB">
        <w:rPr>
          <w:rFonts w:ascii="Arial" w:eastAsia="Times New Roman" w:hAnsi="Arial"/>
          <w:sz w:val="20"/>
          <w:szCs w:val="20"/>
          <w:lang w:val="en-GB" w:eastAsia="zh-CN"/>
        </w:rPr>
        <w:t>. Thus, if the UE skips reading MIB-NB, it needs to get the 7 MSBs bits of SFN to resolve the time ambiguity. Adding the AB flag, overall an 8-bit information needs to be provided to the UE.</w:t>
      </w:r>
    </w:p>
    <w:p w14:paraId="422B4F12" w14:textId="0F9B0D52" w:rsidR="00050CE3" w:rsidRPr="00633EFB" w:rsidRDefault="00050CE3" w:rsidP="00633EFB">
      <w:pPr>
        <w:jc w:val="both"/>
        <w:rPr>
          <w:rFonts w:ascii="Arial" w:eastAsia="Times New Roman" w:hAnsi="Arial"/>
          <w:sz w:val="20"/>
          <w:szCs w:val="20"/>
          <w:lang w:val="en-GB" w:eastAsia="zh-CN"/>
        </w:rPr>
      </w:pPr>
      <w:r w:rsidRPr="00633EFB">
        <w:rPr>
          <w:rFonts w:ascii="Arial" w:eastAsia="Times New Roman" w:hAnsi="Arial"/>
          <w:sz w:val="20"/>
          <w:szCs w:val="20"/>
          <w:lang w:val="en-GB" w:eastAsia="zh-CN"/>
        </w:rPr>
        <w:t>There are two alternatives of how a UE can acquire such information. We will discuss these alternatives below.</w:t>
      </w:r>
    </w:p>
    <w:p w14:paraId="4A5ABE6F" w14:textId="2BB6C9F4" w:rsidR="00050CE3" w:rsidRDefault="00986A8B" w:rsidP="00050CE3">
      <w:pPr>
        <w:pStyle w:val="Heading3"/>
      </w:pPr>
      <w:r>
        <w:t xml:space="preserve">Using </w:t>
      </w:r>
      <w:r w:rsidR="00186EB2">
        <w:t>NPBCH</w:t>
      </w:r>
    </w:p>
    <w:p w14:paraId="75319457" w14:textId="096611CA" w:rsidR="00186EB2" w:rsidRPr="00633EFB" w:rsidRDefault="00186EB2" w:rsidP="00633EFB">
      <w:pPr>
        <w:jc w:val="both"/>
        <w:rPr>
          <w:rFonts w:ascii="Arial" w:eastAsia="Times New Roman" w:hAnsi="Arial"/>
          <w:sz w:val="20"/>
          <w:szCs w:val="20"/>
          <w:lang w:val="en-GB" w:eastAsia="zh-CN"/>
        </w:rPr>
      </w:pPr>
      <w:r w:rsidRPr="00633EFB">
        <w:rPr>
          <w:rFonts w:ascii="Arial" w:eastAsia="Times New Roman" w:hAnsi="Arial"/>
          <w:sz w:val="20"/>
          <w:szCs w:val="20"/>
          <w:lang w:val="en-GB" w:eastAsia="zh-CN"/>
        </w:rPr>
        <w:t>The SFN and AB flag are provided in NPBCH. The UE can treat all the other information elements as known and only focus on decoding SFN and AB flag. The known information bits can be used to prune the trellis and it is expected that the performance can be significantly improved with trellis pruning. In fact, the UE may also check the SI value tag</w:t>
      </w:r>
      <w:r w:rsidR="00064EC6" w:rsidRPr="00633EFB">
        <w:rPr>
          <w:rFonts w:ascii="Arial" w:eastAsia="Times New Roman" w:hAnsi="Arial"/>
          <w:sz w:val="20"/>
          <w:szCs w:val="20"/>
          <w:lang w:val="en-GB" w:eastAsia="zh-CN"/>
        </w:rPr>
        <w:t xml:space="preserve"> if the MI/SI validity interval or expiration time information as discussed in Section 4.1 is not provided.</w:t>
      </w:r>
      <w:r w:rsidR="00F93697">
        <w:rPr>
          <w:rFonts w:ascii="Arial" w:eastAsia="Times New Roman" w:hAnsi="Arial"/>
          <w:sz w:val="20"/>
          <w:szCs w:val="20"/>
          <w:lang w:val="en-GB" w:eastAsia="zh-CN"/>
        </w:rPr>
        <w:t xml:space="preserve"> With a more sophisticate NPBCH decoder that takes advantage of the known MIB-NB bits, the UE can decode the information elements it needs (e.g. </w:t>
      </w:r>
      <w:r w:rsidR="00F93697" w:rsidRPr="00633EFB">
        <w:rPr>
          <w:rFonts w:ascii="Arial" w:eastAsia="Times New Roman" w:hAnsi="Arial"/>
          <w:sz w:val="20"/>
          <w:szCs w:val="20"/>
          <w:lang w:val="en-GB" w:eastAsia="zh-CN"/>
        </w:rPr>
        <w:t>SFN and AB flag</w:t>
      </w:r>
      <w:r w:rsidR="00F93697">
        <w:rPr>
          <w:rFonts w:ascii="Arial" w:eastAsia="Times New Roman" w:hAnsi="Arial"/>
          <w:sz w:val="20"/>
          <w:szCs w:val="20"/>
          <w:lang w:val="en-GB" w:eastAsia="zh-CN"/>
        </w:rPr>
        <w:t>) with fewer repetitions. This helps reduce system acquisition time.</w:t>
      </w:r>
    </w:p>
    <w:p w14:paraId="5949B72F" w14:textId="7CA12FA8" w:rsidR="00064EC6" w:rsidRDefault="00B86B69" w:rsidP="00064EC6">
      <w:pPr>
        <w:pStyle w:val="Heading3"/>
      </w:pPr>
      <w:r>
        <w:t>Using</w:t>
      </w:r>
      <w:r w:rsidR="00064EC6">
        <w:t xml:space="preserve"> wake-up or go-to-sleep signal</w:t>
      </w:r>
    </w:p>
    <w:p w14:paraId="3A3BE239" w14:textId="6CE2A753" w:rsidR="00B86B69" w:rsidRPr="00633EFB" w:rsidRDefault="00064EC6" w:rsidP="00633EFB">
      <w:pPr>
        <w:jc w:val="both"/>
        <w:rPr>
          <w:rFonts w:ascii="Arial" w:eastAsia="Times New Roman" w:hAnsi="Arial"/>
          <w:sz w:val="20"/>
          <w:szCs w:val="20"/>
          <w:lang w:val="en-GB" w:eastAsia="zh-CN"/>
        </w:rPr>
      </w:pPr>
      <w:r w:rsidRPr="009850C2">
        <w:rPr>
          <w:rFonts w:ascii="Arial" w:eastAsia="Times New Roman" w:hAnsi="Arial" w:cs="Arial"/>
          <w:i/>
          <w:sz w:val="20"/>
          <w:szCs w:val="20"/>
          <w:lang w:val="en-GB" w:eastAsia="zh-CN"/>
        </w:rPr>
        <w:t>Wake-up</w:t>
      </w:r>
      <w:r w:rsidRPr="00633EFB">
        <w:rPr>
          <w:rFonts w:ascii="Arial" w:eastAsia="Times New Roman" w:hAnsi="Arial"/>
          <w:sz w:val="20"/>
          <w:szCs w:val="20"/>
          <w:lang w:val="en-GB" w:eastAsia="zh-CN"/>
        </w:rPr>
        <w:t xml:space="preserve"> and </w:t>
      </w:r>
      <w:r w:rsidRPr="009850C2">
        <w:rPr>
          <w:rFonts w:ascii="Arial" w:eastAsia="Times New Roman" w:hAnsi="Arial" w:cs="Arial"/>
          <w:i/>
          <w:sz w:val="20"/>
          <w:szCs w:val="20"/>
          <w:lang w:val="en-GB" w:eastAsia="zh-CN"/>
        </w:rPr>
        <w:t>go-to-sleep</w:t>
      </w:r>
      <w:r w:rsidRPr="00633EFB">
        <w:rPr>
          <w:rFonts w:ascii="Arial" w:eastAsia="Times New Roman" w:hAnsi="Arial"/>
          <w:sz w:val="20"/>
          <w:szCs w:val="20"/>
          <w:lang w:val="en-GB" w:eastAsia="zh-CN"/>
        </w:rPr>
        <w:t xml:space="preserve"> signal is being discussed as a potential solution for </w:t>
      </w:r>
      <w:r w:rsidR="00B86B69" w:rsidRPr="00633EFB">
        <w:rPr>
          <w:rFonts w:ascii="Arial" w:eastAsia="Times New Roman" w:hAnsi="Arial"/>
          <w:sz w:val="20"/>
          <w:szCs w:val="20"/>
          <w:lang w:val="en-GB" w:eastAsia="zh-CN"/>
        </w:rPr>
        <w:t xml:space="preserve">achieving power consumption reduction. The required timing information and AB flag can be bundled with the </w:t>
      </w:r>
      <w:r w:rsidR="00073095">
        <w:rPr>
          <w:rFonts w:ascii="Arial" w:eastAsia="Times New Roman" w:hAnsi="Arial" w:cs="Arial"/>
          <w:i/>
          <w:sz w:val="20"/>
          <w:szCs w:val="20"/>
          <w:lang w:val="en-GB" w:eastAsia="zh-CN"/>
        </w:rPr>
        <w:t>w</w:t>
      </w:r>
      <w:r w:rsidR="00B86B69" w:rsidRPr="009850C2">
        <w:rPr>
          <w:rFonts w:ascii="Arial" w:eastAsia="Times New Roman" w:hAnsi="Arial" w:cs="Arial"/>
          <w:i/>
          <w:sz w:val="20"/>
          <w:szCs w:val="20"/>
          <w:lang w:val="en-GB" w:eastAsia="zh-CN"/>
        </w:rPr>
        <w:t>ake-up</w:t>
      </w:r>
      <w:r w:rsidR="00B86B69" w:rsidRPr="00633EFB">
        <w:rPr>
          <w:rFonts w:ascii="Arial" w:eastAsia="Times New Roman" w:hAnsi="Arial"/>
          <w:sz w:val="20"/>
          <w:szCs w:val="20"/>
          <w:lang w:val="en-GB" w:eastAsia="zh-CN"/>
        </w:rPr>
        <w:t xml:space="preserve"> </w:t>
      </w:r>
      <w:r w:rsidR="00073095">
        <w:rPr>
          <w:rFonts w:ascii="Arial" w:eastAsia="Times New Roman" w:hAnsi="Arial"/>
          <w:sz w:val="20"/>
          <w:szCs w:val="20"/>
          <w:lang w:val="en-GB" w:eastAsia="zh-CN"/>
        </w:rPr>
        <w:t>or</w:t>
      </w:r>
      <w:r w:rsidR="00B86B69" w:rsidRPr="00633EFB">
        <w:rPr>
          <w:rFonts w:ascii="Arial" w:eastAsia="Times New Roman" w:hAnsi="Arial"/>
          <w:sz w:val="20"/>
          <w:szCs w:val="20"/>
          <w:lang w:val="en-GB" w:eastAsia="zh-CN"/>
        </w:rPr>
        <w:t xml:space="preserve"> </w:t>
      </w:r>
      <w:r w:rsidR="00B86B69" w:rsidRPr="009850C2">
        <w:rPr>
          <w:rFonts w:ascii="Arial" w:eastAsia="Times New Roman" w:hAnsi="Arial" w:cs="Arial"/>
          <w:i/>
          <w:sz w:val="20"/>
          <w:szCs w:val="20"/>
          <w:lang w:val="en-GB" w:eastAsia="zh-CN"/>
        </w:rPr>
        <w:t>go-to-sleep</w:t>
      </w:r>
      <w:r w:rsidR="00B86B69" w:rsidRPr="00633EFB">
        <w:rPr>
          <w:rFonts w:ascii="Arial" w:eastAsia="Times New Roman" w:hAnsi="Arial"/>
          <w:sz w:val="20"/>
          <w:szCs w:val="20"/>
          <w:lang w:val="en-GB" w:eastAsia="zh-CN"/>
        </w:rPr>
        <w:t xml:space="preserve"> signal. If the MI/SI validity interval or expiration time information as discussed in Section 4.1 is not provided, the SI value tag may also be bundled.</w:t>
      </w:r>
      <w:r w:rsidR="00073095">
        <w:rPr>
          <w:rFonts w:ascii="Arial" w:eastAsia="Times New Roman" w:hAnsi="Arial"/>
          <w:sz w:val="20"/>
          <w:szCs w:val="20"/>
          <w:lang w:val="en-GB" w:eastAsia="zh-CN"/>
        </w:rPr>
        <w:t xml:space="preserve"> This approach however works for UEs who are monitoring the  </w:t>
      </w:r>
      <w:r w:rsidR="00073095" w:rsidRPr="009850C2">
        <w:rPr>
          <w:rFonts w:ascii="Arial" w:hAnsi="Arial" w:cs="Arial"/>
          <w:i/>
        </w:rPr>
        <w:t>w</w:t>
      </w:r>
      <w:r w:rsidR="00073095" w:rsidRPr="00073095">
        <w:rPr>
          <w:rFonts w:ascii="Arial" w:eastAsia="Times New Roman" w:hAnsi="Arial"/>
          <w:sz w:val="20"/>
          <w:szCs w:val="20"/>
          <w:lang w:val="en-GB" w:eastAsia="zh-CN"/>
        </w:rPr>
        <w:t xml:space="preserve">ake-up </w:t>
      </w:r>
      <w:r w:rsidR="00073095">
        <w:rPr>
          <w:rFonts w:ascii="Arial" w:eastAsia="Times New Roman" w:hAnsi="Arial"/>
          <w:sz w:val="20"/>
          <w:szCs w:val="20"/>
          <w:lang w:val="en-GB" w:eastAsia="zh-CN"/>
        </w:rPr>
        <w:t>or</w:t>
      </w:r>
      <w:r w:rsidR="00073095" w:rsidRPr="00073095">
        <w:rPr>
          <w:rFonts w:ascii="Arial" w:eastAsia="Times New Roman" w:hAnsi="Arial"/>
          <w:sz w:val="20"/>
          <w:szCs w:val="20"/>
          <w:lang w:val="en-GB" w:eastAsia="zh-CN"/>
        </w:rPr>
        <w:t xml:space="preserve"> go-to-sleep signal</w:t>
      </w:r>
      <w:r w:rsidR="00073095">
        <w:rPr>
          <w:rFonts w:ascii="Arial" w:eastAsia="Times New Roman" w:hAnsi="Arial"/>
          <w:sz w:val="20"/>
          <w:szCs w:val="20"/>
          <w:lang w:val="en-GB" w:eastAsia="zh-CN"/>
        </w:rPr>
        <w:t>.</w:t>
      </w:r>
    </w:p>
    <w:p w14:paraId="1C6D82A1" w14:textId="3CD546FE" w:rsidR="00D0025C" w:rsidRPr="00E330BC" w:rsidRDefault="008B5CAA" w:rsidP="00040C32">
      <w:pPr>
        <w:pStyle w:val="Heading1"/>
      </w:pPr>
      <w:r>
        <w:t>Conclusions</w:t>
      </w:r>
    </w:p>
    <w:p w14:paraId="0DC4FC53" w14:textId="47169EEB" w:rsidR="00077B1B" w:rsidRPr="00633EFB" w:rsidRDefault="00FD4489" w:rsidP="00633EFB">
      <w:pPr>
        <w:pStyle w:val="Heading1"/>
        <w:numPr>
          <w:ilvl w:val="0"/>
          <w:numId w:val="0"/>
        </w:numPr>
        <w:jc w:val="both"/>
        <w:rPr>
          <w:rFonts w:eastAsia="Times New Roman" w:cs="Times New Roman"/>
          <w:bCs w:val="0"/>
          <w:sz w:val="20"/>
          <w:szCs w:val="20"/>
          <w:lang w:val="en-GB" w:eastAsia="zh-CN"/>
        </w:rPr>
      </w:pPr>
      <w:r w:rsidRPr="00633EFB">
        <w:rPr>
          <w:rFonts w:eastAsia="Times New Roman" w:cs="Times New Roman"/>
          <w:bCs w:val="0"/>
          <w:sz w:val="20"/>
          <w:szCs w:val="20"/>
          <w:lang w:val="en-GB" w:eastAsia="zh-CN"/>
        </w:rPr>
        <w:t>In this contribution, we discuss potential solutions that can reduce system acquisition time.</w:t>
      </w:r>
      <w:r w:rsidR="00077B1B" w:rsidRPr="00633EFB">
        <w:rPr>
          <w:rFonts w:eastAsia="Times New Roman" w:cs="Times New Roman"/>
          <w:bCs w:val="0"/>
          <w:sz w:val="20"/>
          <w:szCs w:val="20"/>
          <w:lang w:val="en-GB" w:eastAsia="zh-CN"/>
        </w:rPr>
        <w:t xml:space="preserve"> Based on the</w:t>
      </w:r>
      <w:r w:rsidR="00077B1B">
        <w:rPr>
          <w:rFonts w:ascii="Times New Roman" w:hAnsi="Times New Roman" w:cs="Times New Roman"/>
          <w:bCs w:val="0"/>
          <w:sz w:val="22"/>
          <w:szCs w:val="24"/>
        </w:rPr>
        <w:t xml:space="preserve"> </w:t>
      </w:r>
      <w:r w:rsidR="00077B1B" w:rsidRPr="00633EFB">
        <w:rPr>
          <w:rFonts w:eastAsia="Times New Roman" w:cs="Times New Roman"/>
          <w:bCs w:val="0"/>
          <w:sz w:val="20"/>
          <w:szCs w:val="20"/>
          <w:lang w:val="en-GB" w:eastAsia="zh-CN"/>
        </w:rPr>
        <w:t>discussions presented in this contribution, the below observations and proposals are made.</w:t>
      </w:r>
    </w:p>
    <w:p w14:paraId="03DE17E9" w14:textId="67D3A593" w:rsidR="00077B1B" w:rsidRPr="00077B1B" w:rsidRDefault="00077B1B" w:rsidP="00077B1B">
      <w:pPr>
        <w:rPr>
          <w:rFonts w:cs="Arial"/>
          <w:i/>
        </w:rPr>
      </w:pPr>
      <w:r w:rsidRPr="00BE0C91">
        <w:rPr>
          <w:rFonts w:cs="Arial"/>
          <w:i/>
        </w:rPr>
        <w:t xml:space="preserve">Observation 1: </w:t>
      </w:r>
      <w:r w:rsidR="00611383" w:rsidRPr="00611383">
        <w:rPr>
          <w:i/>
        </w:rPr>
        <w:t>Improvement for system acquisition time reduction should primarily target the in-band mode. The solutions can reduce the system acquisition time for the in-band mode can be directly applied to the guard-band and standalone modes.</w:t>
      </w:r>
    </w:p>
    <w:p w14:paraId="49D9DDEE" w14:textId="0F12F390" w:rsidR="00FD4489" w:rsidRPr="00077B1B" w:rsidRDefault="00077B1B" w:rsidP="00FD4489">
      <w:pPr>
        <w:rPr>
          <w:i/>
        </w:rPr>
      </w:pPr>
      <w:r w:rsidRPr="00BE0C91">
        <w:rPr>
          <w:i/>
        </w:rPr>
        <w:t>Proposal 1: Rel-15 should first focus on improving NPBCH performance.</w:t>
      </w:r>
    </w:p>
    <w:p w14:paraId="1BB3B55E" w14:textId="77777777" w:rsidR="00077B1B" w:rsidRPr="00077B1B" w:rsidRDefault="00077B1B" w:rsidP="00077B1B">
      <w:pPr>
        <w:pStyle w:val="BodyText"/>
        <w:rPr>
          <w:rFonts w:ascii="Times New Roman" w:eastAsia="MS Mincho" w:hAnsi="Times New Roman"/>
          <w:i/>
          <w:sz w:val="22"/>
          <w:szCs w:val="24"/>
          <w:lang w:val="en-US" w:eastAsia="ja-JP"/>
        </w:rPr>
      </w:pPr>
      <w:r w:rsidRPr="00077B1B">
        <w:rPr>
          <w:rFonts w:ascii="Times New Roman" w:eastAsia="MS Mincho" w:hAnsi="Times New Roman"/>
          <w:i/>
          <w:sz w:val="22"/>
          <w:szCs w:val="24"/>
          <w:lang w:val="en-US" w:eastAsia="ja-JP"/>
        </w:rPr>
        <w:t>Observation 2: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72F00662" w14:textId="77777777" w:rsidR="00077B1B" w:rsidRDefault="00077B1B" w:rsidP="00077B1B">
      <w:pPr>
        <w:rPr>
          <w:i/>
        </w:rPr>
      </w:pPr>
      <w:r w:rsidRPr="00240532">
        <w:rPr>
          <w:i/>
        </w:rPr>
        <w:lastRenderedPageBreak/>
        <w:t>Observation 3: Exploiting the linear code properties of CRC and TBCC, joint decoding across multiple NPBCH TTI’s can be done by simply applying an appropriate descrambling mask to the bit soft values before combining the TBCC codewords across multiple TTIs.</w:t>
      </w:r>
    </w:p>
    <w:p w14:paraId="49322A5F" w14:textId="1BB95A71" w:rsidR="00077B1B" w:rsidRPr="00077B1B" w:rsidRDefault="00077B1B" w:rsidP="00FD4489">
      <w:pPr>
        <w:rPr>
          <w:i/>
        </w:rPr>
      </w:pPr>
      <w:r w:rsidRPr="00077B1B">
        <w:rPr>
          <w:i/>
        </w:rPr>
        <w:t xml:space="preserve">Proposal 2: eNB signaling the MI/SI validity interval or expiration time is considered. </w:t>
      </w:r>
      <w:r w:rsidR="00EB6E2F" w:rsidRPr="00EB6E2F">
        <w:rPr>
          <w:i/>
        </w:rPr>
        <w:t>The MI/SI validity or expiration time is not affected by changes of the AB flag, SFN and H-SFN.</w:t>
      </w:r>
      <w:r w:rsidR="00EB6E2F">
        <w:rPr>
          <w:i/>
        </w:rPr>
        <w:t xml:space="preserve"> </w:t>
      </w:r>
      <w:r w:rsidRPr="00077B1B">
        <w:rPr>
          <w:i/>
        </w:rPr>
        <w:t>The exact signaling method is FFS.</w:t>
      </w:r>
    </w:p>
    <w:p w14:paraId="1943BE1C" w14:textId="77777777" w:rsidR="00D0025C" w:rsidRPr="00040C32" w:rsidRDefault="00D0025C" w:rsidP="009F15B1">
      <w:pPr>
        <w:pStyle w:val="Heading1"/>
      </w:pPr>
      <w:r w:rsidRPr="00040C32">
        <w:t>References</w:t>
      </w:r>
    </w:p>
    <w:p w14:paraId="70C8CB0F" w14:textId="5E178BF8" w:rsidR="00E6086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3"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3"/>
    </w:p>
    <w:p w14:paraId="48618F25" w14:textId="1662BE35" w:rsidR="000B5175" w:rsidRDefault="00166321" w:rsidP="00166321">
      <w:pPr>
        <w:pStyle w:val="Reference"/>
        <w:numPr>
          <w:ilvl w:val="0"/>
          <w:numId w:val="10"/>
        </w:numPr>
        <w:tabs>
          <w:tab w:val="clear" w:pos="1701"/>
        </w:tabs>
        <w:spacing w:after="200" w:line="276" w:lineRule="auto"/>
        <w:rPr>
          <w:rFonts w:ascii="Arial" w:hAnsi="Arial" w:cs="Arial"/>
          <w:sz w:val="20"/>
          <w:szCs w:val="20"/>
        </w:rPr>
      </w:pPr>
      <w:r w:rsidRPr="00166321">
        <w:rPr>
          <w:rFonts w:ascii="Arial" w:hAnsi="Arial" w:cs="Arial"/>
          <w:sz w:val="20"/>
          <w:szCs w:val="20"/>
        </w:rPr>
        <w:t>R1-1705188</w:t>
      </w:r>
      <w:r w:rsidRPr="00EA7725">
        <w:rPr>
          <w:rFonts w:ascii="Arial" w:hAnsi="Arial" w:cs="Arial"/>
          <w:sz w:val="20"/>
          <w:szCs w:val="20"/>
        </w:rPr>
        <w:t>, “</w:t>
      </w:r>
      <w:r w:rsidRPr="00166321">
        <w:rPr>
          <w:rFonts w:ascii="Arial" w:hAnsi="Arial" w:cs="Arial"/>
          <w:sz w:val="20"/>
          <w:szCs w:val="20"/>
        </w:rPr>
        <w:t>On system acquisition time reduction</w:t>
      </w:r>
      <w:r w:rsidRPr="00EA7725">
        <w:rPr>
          <w:rFonts w:ascii="Arial" w:hAnsi="Arial" w:cs="Arial"/>
          <w:sz w:val="20"/>
          <w:szCs w:val="20"/>
        </w:rPr>
        <w:t>”, RAN</w:t>
      </w:r>
      <w:r>
        <w:rPr>
          <w:rFonts w:ascii="Arial" w:hAnsi="Arial" w:cs="Arial"/>
          <w:sz w:val="20"/>
          <w:szCs w:val="20"/>
        </w:rPr>
        <w:t>1</w:t>
      </w:r>
      <w:r w:rsidRPr="00EA7725">
        <w:rPr>
          <w:rFonts w:ascii="Arial" w:hAnsi="Arial" w:cs="Arial"/>
          <w:sz w:val="20"/>
          <w:szCs w:val="20"/>
        </w:rPr>
        <w:t>#</w:t>
      </w:r>
      <w:r>
        <w:rPr>
          <w:rFonts w:ascii="Arial" w:hAnsi="Arial" w:cs="Arial"/>
          <w:sz w:val="20"/>
          <w:szCs w:val="20"/>
        </w:rPr>
        <w:t>88b</w:t>
      </w:r>
      <w:r w:rsidRPr="00EA7725">
        <w:rPr>
          <w:rFonts w:ascii="Arial" w:hAnsi="Arial" w:cs="Arial"/>
          <w:sz w:val="20"/>
          <w:szCs w:val="20"/>
        </w:rPr>
        <w:t xml:space="preserve">, source </w:t>
      </w:r>
      <w:r>
        <w:rPr>
          <w:rFonts w:ascii="Arial" w:hAnsi="Arial" w:cs="Arial"/>
          <w:sz w:val="20"/>
          <w:szCs w:val="20"/>
        </w:rPr>
        <w:t>Ericsson, 3 – 7</w:t>
      </w:r>
      <w:r w:rsidRPr="00EA7725">
        <w:rPr>
          <w:rFonts w:ascii="Arial" w:hAnsi="Arial" w:cs="Arial"/>
          <w:sz w:val="20"/>
          <w:szCs w:val="20"/>
        </w:rPr>
        <w:t xml:space="preserve"> </w:t>
      </w:r>
      <w:r>
        <w:rPr>
          <w:rFonts w:ascii="Arial" w:hAnsi="Arial" w:cs="Arial"/>
          <w:sz w:val="20"/>
          <w:szCs w:val="20"/>
        </w:rPr>
        <w:t>April, 2017</w:t>
      </w:r>
      <w:r w:rsidRPr="00EA7725">
        <w:rPr>
          <w:rFonts w:ascii="Arial" w:hAnsi="Arial" w:cs="Arial"/>
          <w:sz w:val="20"/>
          <w:szCs w:val="20"/>
        </w:rPr>
        <w:t>.</w:t>
      </w:r>
    </w:p>
    <w:p w14:paraId="7531E114" w14:textId="77777777" w:rsidR="005F0049" w:rsidRPr="00730249" w:rsidRDefault="005F0049" w:rsidP="005F0049">
      <w:pPr>
        <w:numPr>
          <w:ilvl w:val="0"/>
          <w:numId w:val="10"/>
        </w:numPr>
        <w:overflowPunct w:val="0"/>
        <w:autoSpaceDE w:val="0"/>
        <w:autoSpaceDN w:val="0"/>
        <w:adjustRightInd w:val="0"/>
        <w:spacing w:after="180"/>
        <w:textAlignment w:val="baseline"/>
        <w:rPr>
          <w:rFonts w:ascii="Arial" w:hAnsi="Arial" w:cs="Arial"/>
          <w:sz w:val="20"/>
          <w:szCs w:val="20"/>
        </w:rPr>
      </w:pPr>
      <w:r w:rsidRPr="00730249">
        <w:rPr>
          <w:rFonts w:ascii="Arial" w:hAnsi="Arial" w:cs="Arial"/>
          <w:sz w:val="20"/>
          <w:szCs w:val="20"/>
        </w:rPr>
        <w:t>R1-152190, PBCH repetition for MTC, Ericsson, RAN1#80bis.</w:t>
      </w:r>
    </w:p>
    <w:p w14:paraId="6527C494" w14:textId="21FC09EB" w:rsidR="00674053" w:rsidRPr="00077B1B" w:rsidRDefault="00A45A67" w:rsidP="00077B1B">
      <w:pPr>
        <w:pStyle w:val="ListParagraph"/>
        <w:numPr>
          <w:ilvl w:val="0"/>
          <w:numId w:val="10"/>
        </w:numPr>
        <w:rPr>
          <w:rFonts w:eastAsia="MS Mincho" w:cs="Arial"/>
          <w:lang w:val="en-US" w:eastAsia="ja-JP"/>
        </w:rPr>
      </w:pPr>
      <w:r w:rsidRPr="00A45A67">
        <w:rPr>
          <w:rFonts w:eastAsia="MS Mincho" w:cs="Arial"/>
          <w:lang w:val="en-US" w:eastAsia="ja-JP"/>
        </w:rPr>
        <w:t>3GPP TR45.820 Cellular system support for ultra-low complexity and low throughput Internet of Things (CIoT)</w:t>
      </w:r>
    </w:p>
    <w:sectPr w:rsidR="00674053" w:rsidRPr="00077B1B" w:rsidSect="008F64CA">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843A4" w14:textId="77777777" w:rsidR="00A46442" w:rsidRDefault="00A46442">
      <w:pPr>
        <w:spacing w:after="0"/>
      </w:pPr>
      <w:r>
        <w:separator/>
      </w:r>
    </w:p>
  </w:endnote>
  <w:endnote w:type="continuationSeparator" w:id="0">
    <w:p w14:paraId="5AB735CD" w14:textId="77777777" w:rsidR="00A46442" w:rsidRDefault="00A46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341D1E16" w:rsidR="00A256F8" w:rsidRDefault="00A256F8">
    <w:pPr>
      <w:pStyle w:val="Footer"/>
      <w:ind w:right="-1521"/>
    </w:pPr>
    <w:r>
      <w:rPr>
        <w:rStyle w:val="PageNumber"/>
      </w:rPr>
      <w:fldChar w:fldCharType="begin"/>
    </w:r>
    <w:r>
      <w:rPr>
        <w:rStyle w:val="PageNumber"/>
      </w:rPr>
      <w:instrText xml:space="preserve"> PAGE </w:instrText>
    </w:r>
    <w:r>
      <w:rPr>
        <w:rStyle w:val="PageNumber"/>
      </w:rPr>
      <w:fldChar w:fldCharType="separate"/>
    </w:r>
    <w:r w:rsidR="009850C2">
      <w:rPr>
        <w:rStyle w:val="PageNumber"/>
      </w:rPr>
      <w:t>6</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50C2">
      <w:rPr>
        <w:rStyle w:val="PageNumber"/>
      </w:rPr>
      <w:t>6</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2381D6CD" w:rsidR="00A256F8" w:rsidRDefault="00A256F8">
    <w:pPr>
      <w:pStyle w:val="Footer"/>
    </w:pPr>
    <w:r>
      <w:rPr>
        <w:rStyle w:val="PageNumber"/>
      </w:rPr>
      <w:fldChar w:fldCharType="begin"/>
    </w:r>
    <w:r>
      <w:rPr>
        <w:rStyle w:val="PageNumber"/>
      </w:rPr>
      <w:instrText xml:space="preserve"> PAGE </w:instrText>
    </w:r>
    <w:r>
      <w:rPr>
        <w:rStyle w:val="PageNumber"/>
      </w:rPr>
      <w:fldChar w:fldCharType="separate"/>
    </w:r>
    <w:r w:rsidR="009850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50C2">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046E9" w14:textId="77777777" w:rsidR="00A46442" w:rsidRDefault="00A46442">
      <w:pPr>
        <w:spacing w:after="0"/>
      </w:pPr>
      <w:r>
        <w:separator/>
      </w:r>
    </w:p>
  </w:footnote>
  <w:footnote w:type="continuationSeparator" w:id="0">
    <w:p w14:paraId="02849AF5" w14:textId="77777777" w:rsidR="00A46442" w:rsidRDefault="00A46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A256F8" w:rsidRPr="006A0FC7" w:rsidRDefault="00A256F8"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A256F8" w:rsidRPr="00BF30DA" w:rsidRDefault="00A256F8"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5295A"/>
    <w:multiLevelType w:val="hybridMultilevel"/>
    <w:tmpl w:val="4BE4F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2" w15:restartNumberingAfterBreak="0">
    <w:nsid w:val="2115593B"/>
    <w:multiLevelType w:val="hybridMultilevel"/>
    <w:tmpl w:val="E8B4F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15:restartNumberingAfterBreak="0">
    <w:nsid w:val="3FF6084F"/>
    <w:multiLevelType w:val="hybridMultilevel"/>
    <w:tmpl w:val="E424E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6B5D60"/>
    <w:multiLevelType w:val="hybridMultilevel"/>
    <w:tmpl w:val="E4E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64EDD"/>
    <w:multiLevelType w:val="hybridMultilevel"/>
    <w:tmpl w:val="8E6A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10"/>
  </w:num>
  <w:num w:numId="4">
    <w:abstractNumId w:val="29"/>
  </w:num>
  <w:num w:numId="5">
    <w:abstractNumId w:val="13"/>
  </w:num>
  <w:num w:numId="6">
    <w:abstractNumId w:val="17"/>
  </w:num>
  <w:num w:numId="7">
    <w:abstractNumId w:val="22"/>
  </w:num>
  <w:num w:numId="8">
    <w:abstractNumId w:val="14"/>
  </w:num>
  <w:num w:numId="9">
    <w:abstractNumId w:val="31"/>
  </w:num>
  <w:num w:numId="10">
    <w:abstractNumId w:val="11"/>
  </w:num>
  <w:num w:numId="11">
    <w:abstractNumId w:val="0"/>
  </w:num>
  <w:num w:numId="12">
    <w:abstractNumId w:val="21"/>
  </w:num>
  <w:num w:numId="13">
    <w:abstractNumId w:val="24"/>
  </w:num>
  <w:num w:numId="14">
    <w:abstractNumId w:val="34"/>
  </w:num>
  <w:num w:numId="15">
    <w:abstractNumId w:val="23"/>
  </w:num>
  <w:num w:numId="16">
    <w:abstractNumId w:val="10"/>
  </w:num>
  <w:num w:numId="17">
    <w:abstractNumId w:val="35"/>
  </w:num>
  <w:num w:numId="18">
    <w:abstractNumId w:val="7"/>
  </w:num>
  <w:num w:numId="19">
    <w:abstractNumId w:val="8"/>
  </w:num>
  <w:num w:numId="20">
    <w:abstractNumId w:val="20"/>
  </w:num>
  <w:num w:numId="21">
    <w:abstractNumId w:val="26"/>
  </w:num>
  <w:num w:numId="22">
    <w:abstractNumId w:val="16"/>
  </w:num>
  <w:num w:numId="23">
    <w:abstractNumId w:val="16"/>
    <w:lvlOverride w:ilvl="0">
      <w:startOverride w:val="1"/>
    </w:lvlOverride>
  </w:num>
  <w:num w:numId="24">
    <w:abstractNumId w:val="19"/>
  </w:num>
  <w:num w:numId="25">
    <w:abstractNumId w:val="33"/>
  </w:num>
  <w:num w:numId="26">
    <w:abstractNumId w:val="28"/>
  </w:num>
  <w:num w:numId="27">
    <w:abstractNumId w:val="30"/>
  </w:num>
  <w:num w:numId="28">
    <w:abstractNumId w:val="25"/>
  </w:num>
  <w:num w:numId="29">
    <w:abstractNumId w:val="9"/>
  </w:num>
  <w:num w:numId="30">
    <w:abstractNumId w:val="3"/>
  </w:num>
  <w:num w:numId="31">
    <w:abstractNumId w:val="16"/>
    <w:lvlOverride w:ilvl="0">
      <w:startOverride w:val="1"/>
    </w:lvlOverride>
  </w:num>
  <w:num w:numId="32">
    <w:abstractNumId w:val="4"/>
  </w:num>
  <w:num w:numId="33">
    <w:abstractNumId w:val="16"/>
    <w:lvlOverride w:ilvl="0">
      <w:startOverride w:val="1"/>
    </w:lvlOverride>
  </w:num>
  <w:num w:numId="34">
    <w:abstractNumId w:val="5"/>
  </w:num>
  <w:num w:numId="35">
    <w:abstractNumId w:val="1"/>
  </w:num>
  <w:num w:numId="36">
    <w:abstractNumId w:val="18"/>
  </w:num>
  <w:num w:numId="37">
    <w:abstractNumId w:val="36"/>
  </w:num>
  <w:num w:numId="38">
    <w:abstractNumId w:val="27"/>
  </w:num>
  <w:num w:numId="39">
    <w:abstractNumId w:val="15"/>
  </w:num>
  <w:num w:numId="40">
    <w:abstractNumId w:val="6"/>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3947"/>
    <w:rsid w:val="000246B6"/>
    <w:rsid w:val="00026998"/>
    <w:rsid w:val="00030434"/>
    <w:rsid w:val="00032044"/>
    <w:rsid w:val="00040C32"/>
    <w:rsid w:val="00042F9B"/>
    <w:rsid w:val="000458F1"/>
    <w:rsid w:val="00050CE3"/>
    <w:rsid w:val="00054C9C"/>
    <w:rsid w:val="00064EC6"/>
    <w:rsid w:val="00065736"/>
    <w:rsid w:val="00067587"/>
    <w:rsid w:val="000713E2"/>
    <w:rsid w:val="00073095"/>
    <w:rsid w:val="00077B1B"/>
    <w:rsid w:val="00087413"/>
    <w:rsid w:val="000900F5"/>
    <w:rsid w:val="000A1844"/>
    <w:rsid w:val="000A3E5D"/>
    <w:rsid w:val="000A6ED3"/>
    <w:rsid w:val="000B5175"/>
    <w:rsid w:val="000C0578"/>
    <w:rsid w:val="000C5230"/>
    <w:rsid w:val="000D6E7E"/>
    <w:rsid w:val="000E237B"/>
    <w:rsid w:val="000E4DCC"/>
    <w:rsid w:val="000E51FE"/>
    <w:rsid w:val="000F1B6D"/>
    <w:rsid w:val="000F4D52"/>
    <w:rsid w:val="000F6784"/>
    <w:rsid w:val="000F6FF5"/>
    <w:rsid w:val="00100216"/>
    <w:rsid w:val="00103529"/>
    <w:rsid w:val="001111C8"/>
    <w:rsid w:val="0011133B"/>
    <w:rsid w:val="00112C00"/>
    <w:rsid w:val="0011695D"/>
    <w:rsid w:val="001173BC"/>
    <w:rsid w:val="00120F8D"/>
    <w:rsid w:val="00122163"/>
    <w:rsid w:val="00127903"/>
    <w:rsid w:val="0013001D"/>
    <w:rsid w:val="00134AC8"/>
    <w:rsid w:val="001421FF"/>
    <w:rsid w:val="0014525B"/>
    <w:rsid w:val="00145F76"/>
    <w:rsid w:val="00146E22"/>
    <w:rsid w:val="001476A2"/>
    <w:rsid w:val="00153462"/>
    <w:rsid w:val="00155CA9"/>
    <w:rsid w:val="00166321"/>
    <w:rsid w:val="00167A91"/>
    <w:rsid w:val="001824D7"/>
    <w:rsid w:val="00183C5E"/>
    <w:rsid w:val="00186EB2"/>
    <w:rsid w:val="001920C1"/>
    <w:rsid w:val="00194D02"/>
    <w:rsid w:val="001A15F9"/>
    <w:rsid w:val="001A2578"/>
    <w:rsid w:val="001A2FFC"/>
    <w:rsid w:val="001A52BB"/>
    <w:rsid w:val="001B1EE9"/>
    <w:rsid w:val="001D2761"/>
    <w:rsid w:val="001D5825"/>
    <w:rsid w:val="001E5F69"/>
    <w:rsid w:val="001F1128"/>
    <w:rsid w:val="001F39CD"/>
    <w:rsid w:val="0020440B"/>
    <w:rsid w:val="002070CF"/>
    <w:rsid w:val="0021026C"/>
    <w:rsid w:val="00210DE0"/>
    <w:rsid w:val="0021185C"/>
    <w:rsid w:val="00211A8D"/>
    <w:rsid w:val="002149B3"/>
    <w:rsid w:val="00225BDF"/>
    <w:rsid w:val="002345BF"/>
    <w:rsid w:val="002346A8"/>
    <w:rsid w:val="00240532"/>
    <w:rsid w:val="00243252"/>
    <w:rsid w:val="00246705"/>
    <w:rsid w:val="00250B34"/>
    <w:rsid w:val="0025283A"/>
    <w:rsid w:val="00254977"/>
    <w:rsid w:val="00260842"/>
    <w:rsid w:val="00274655"/>
    <w:rsid w:val="002848DE"/>
    <w:rsid w:val="00286985"/>
    <w:rsid w:val="002A5F54"/>
    <w:rsid w:val="002B3029"/>
    <w:rsid w:val="002C090C"/>
    <w:rsid w:val="002C3241"/>
    <w:rsid w:val="002C4D77"/>
    <w:rsid w:val="002C777A"/>
    <w:rsid w:val="002C7894"/>
    <w:rsid w:val="002D41B6"/>
    <w:rsid w:val="002E3796"/>
    <w:rsid w:val="002E4823"/>
    <w:rsid w:val="002E6163"/>
    <w:rsid w:val="002E6E6D"/>
    <w:rsid w:val="002F0B9F"/>
    <w:rsid w:val="002F1E0C"/>
    <w:rsid w:val="002F5297"/>
    <w:rsid w:val="002F6616"/>
    <w:rsid w:val="00302688"/>
    <w:rsid w:val="003036B0"/>
    <w:rsid w:val="0030478D"/>
    <w:rsid w:val="00304B8A"/>
    <w:rsid w:val="00320EC5"/>
    <w:rsid w:val="003235A5"/>
    <w:rsid w:val="00327D85"/>
    <w:rsid w:val="003317F8"/>
    <w:rsid w:val="003344F3"/>
    <w:rsid w:val="00350056"/>
    <w:rsid w:val="0037062D"/>
    <w:rsid w:val="00382406"/>
    <w:rsid w:val="00383189"/>
    <w:rsid w:val="003914A6"/>
    <w:rsid w:val="00396414"/>
    <w:rsid w:val="003A3526"/>
    <w:rsid w:val="003A3D1D"/>
    <w:rsid w:val="003A79AB"/>
    <w:rsid w:val="003B163E"/>
    <w:rsid w:val="003B70D0"/>
    <w:rsid w:val="003C2A4E"/>
    <w:rsid w:val="003C6570"/>
    <w:rsid w:val="003C7664"/>
    <w:rsid w:val="003D3A36"/>
    <w:rsid w:val="003E46E6"/>
    <w:rsid w:val="00400FF7"/>
    <w:rsid w:val="00406175"/>
    <w:rsid w:val="004177A0"/>
    <w:rsid w:val="00420331"/>
    <w:rsid w:val="0042082E"/>
    <w:rsid w:val="00422A84"/>
    <w:rsid w:val="004325D0"/>
    <w:rsid w:val="004360A7"/>
    <w:rsid w:val="00473761"/>
    <w:rsid w:val="004769BB"/>
    <w:rsid w:val="00481C6D"/>
    <w:rsid w:val="00487384"/>
    <w:rsid w:val="004901C7"/>
    <w:rsid w:val="00492325"/>
    <w:rsid w:val="00492C7C"/>
    <w:rsid w:val="00494FD0"/>
    <w:rsid w:val="004A6C62"/>
    <w:rsid w:val="004A754A"/>
    <w:rsid w:val="004B16A3"/>
    <w:rsid w:val="004B2104"/>
    <w:rsid w:val="004B5641"/>
    <w:rsid w:val="004C5C00"/>
    <w:rsid w:val="004E25C1"/>
    <w:rsid w:val="004E6FA6"/>
    <w:rsid w:val="004F1A79"/>
    <w:rsid w:val="004F42FB"/>
    <w:rsid w:val="004F6586"/>
    <w:rsid w:val="00502083"/>
    <w:rsid w:val="00503F5F"/>
    <w:rsid w:val="00506846"/>
    <w:rsid w:val="00514643"/>
    <w:rsid w:val="00516E84"/>
    <w:rsid w:val="005220A3"/>
    <w:rsid w:val="00532695"/>
    <w:rsid w:val="00535CFA"/>
    <w:rsid w:val="00541BD8"/>
    <w:rsid w:val="0054204E"/>
    <w:rsid w:val="00542E85"/>
    <w:rsid w:val="00545DBC"/>
    <w:rsid w:val="00551443"/>
    <w:rsid w:val="00551E65"/>
    <w:rsid w:val="00552672"/>
    <w:rsid w:val="005549B8"/>
    <w:rsid w:val="005549D7"/>
    <w:rsid w:val="00556DD7"/>
    <w:rsid w:val="005578FC"/>
    <w:rsid w:val="00560A00"/>
    <w:rsid w:val="00561FE2"/>
    <w:rsid w:val="00562747"/>
    <w:rsid w:val="0056324C"/>
    <w:rsid w:val="00565213"/>
    <w:rsid w:val="00567905"/>
    <w:rsid w:val="00570629"/>
    <w:rsid w:val="00574782"/>
    <w:rsid w:val="005819F1"/>
    <w:rsid w:val="00585A8F"/>
    <w:rsid w:val="00587BFF"/>
    <w:rsid w:val="00590754"/>
    <w:rsid w:val="005A2136"/>
    <w:rsid w:val="005A2DC7"/>
    <w:rsid w:val="005A5F6A"/>
    <w:rsid w:val="005B3AC1"/>
    <w:rsid w:val="005B43FF"/>
    <w:rsid w:val="005B7FD3"/>
    <w:rsid w:val="005C1045"/>
    <w:rsid w:val="005C43AF"/>
    <w:rsid w:val="005D0804"/>
    <w:rsid w:val="005D2421"/>
    <w:rsid w:val="005D5FB2"/>
    <w:rsid w:val="005D7A30"/>
    <w:rsid w:val="005D7EAB"/>
    <w:rsid w:val="005F0049"/>
    <w:rsid w:val="005F1BF9"/>
    <w:rsid w:val="005F2340"/>
    <w:rsid w:val="005F2777"/>
    <w:rsid w:val="005F50CF"/>
    <w:rsid w:val="005F5F23"/>
    <w:rsid w:val="006040BD"/>
    <w:rsid w:val="00611383"/>
    <w:rsid w:val="00611E08"/>
    <w:rsid w:val="006120D3"/>
    <w:rsid w:val="00616BF7"/>
    <w:rsid w:val="00622DD5"/>
    <w:rsid w:val="0063051D"/>
    <w:rsid w:val="00631B7D"/>
    <w:rsid w:val="006336FE"/>
    <w:rsid w:val="00633EFB"/>
    <w:rsid w:val="00635F56"/>
    <w:rsid w:val="006408F9"/>
    <w:rsid w:val="00650072"/>
    <w:rsid w:val="00650DFB"/>
    <w:rsid w:val="00653B0D"/>
    <w:rsid w:val="006571DE"/>
    <w:rsid w:val="00661BF5"/>
    <w:rsid w:val="006635DF"/>
    <w:rsid w:val="00664815"/>
    <w:rsid w:val="00670718"/>
    <w:rsid w:val="00674053"/>
    <w:rsid w:val="00676F66"/>
    <w:rsid w:val="00693B4E"/>
    <w:rsid w:val="0069737F"/>
    <w:rsid w:val="006A1AC3"/>
    <w:rsid w:val="006A3A54"/>
    <w:rsid w:val="006B23B9"/>
    <w:rsid w:val="006B2B29"/>
    <w:rsid w:val="006B3F0B"/>
    <w:rsid w:val="006C1A2D"/>
    <w:rsid w:val="006C3209"/>
    <w:rsid w:val="006C4E4F"/>
    <w:rsid w:val="006C55B8"/>
    <w:rsid w:val="006D10B4"/>
    <w:rsid w:val="006D1688"/>
    <w:rsid w:val="006D1CC4"/>
    <w:rsid w:val="006D50D6"/>
    <w:rsid w:val="006D774A"/>
    <w:rsid w:val="006E0934"/>
    <w:rsid w:val="006E48D6"/>
    <w:rsid w:val="007127E1"/>
    <w:rsid w:val="00730249"/>
    <w:rsid w:val="00737463"/>
    <w:rsid w:val="0074094A"/>
    <w:rsid w:val="00752444"/>
    <w:rsid w:val="00761D18"/>
    <w:rsid w:val="007656D3"/>
    <w:rsid w:val="00766DE5"/>
    <w:rsid w:val="00773048"/>
    <w:rsid w:val="00776B00"/>
    <w:rsid w:val="00782477"/>
    <w:rsid w:val="007863C5"/>
    <w:rsid w:val="0078652C"/>
    <w:rsid w:val="00786A10"/>
    <w:rsid w:val="007871A4"/>
    <w:rsid w:val="00792756"/>
    <w:rsid w:val="007A1D4C"/>
    <w:rsid w:val="007A4C7D"/>
    <w:rsid w:val="007C0300"/>
    <w:rsid w:val="007C0E55"/>
    <w:rsid w:val="007C5560"/>
    <w:rsid w:val="007C7D08"/>
    <w:rsid w:val="007D3134"/>
    <w:rsid w:val="007D3B77"/>
    <w:rsid w:val="007E7BC4"/>
    <w:rsid w:val="007F2B85"/>
    <w:rsid w:val="007F5C12"/>
    <w:rsid w:val="007F6408"/>
    <w:rsid w:val="00804CB5"/>
    <w:rsid w:val="00807936"/>
    <w:rsid w:val="00810B99"/>
    <w:rsid w:val="008227C8"/>
    <w:rsid w:val="00826896"/>
    <w:rsid w:val="00827E27"/>
    <w:rsid w:val="00831109"/>
    <w:rsid w:val="00835BD8"/>
    <w:rsid w:val="00840A9C"/>
    <w:rsid w:val="00841A5A"/>
    <w:rsid w:val="00847BAF"/>
    <w:rsid w:val="0086071C"/>
    <w:rsid w:val="00863528"/>
    <w:rsid w:val="008641BF"/>
    <w:rsid w:val="008659F2"/>
    <w:rsid w:val="00871B8C"/>
    <w:rsid w:val="00871EEB"/>
    <w:rsid w:val="00895014"/>
    <w:rsid w:val="00896320"/>
    <w:rsid w:val="008A1390"/>
    <w:rsid w:val="008A2470"/>
    <w:rsid w:val="008B20EE"/>
    <w:rsid w:val="008B5CAA"/>
    <w:rsid w:val="008C0AB2"/>
    <w:rsid w:val="008D116E"/>
    <w:rsid w:val="008D3FB0"/>
    <w:rsid w:val="008D5EE7"/>
    <w:rsid w:val="008D7659"/>
    <w:rsid w:val="008E1BEF"/>
    <w:rsid w:val="008F64CA"/>
    <w:rsid w:val="009009E5"/>
    <w:rsid w:val="00905CFB"/>
    <w:rsid w:val="00907764"/>
    <w:rsid w:val="009129F7"/>
    <w:rsid w:val="00913258"/>
    <w:rsid w:val="00913AD5"/>
    <w:rsid w:val="00914DA4"/>
    <w:rsid w:val="0091666E"/>
    <w:rsid w:val="00924CAA"/>
    <w:rsid w:val="00925779"/>
    <w:rsid w:val="00930915"/>
    <w:rsid w:val="00930EE4"/>
    <w:rsid w:val="00932B02"/>
    <w:rsid w:val="00933D72"/>
    <w:rsid w:val="00933FC9"/>
    <w:rsid w:val="00942214"/>
    <w:rsid w:val="0094429F"/>
    <w:rsid w:val="00946939"/>
    <w:rsid w:val="00954C82"/>
    <w:rsid w:val="00955CF1"/>
    <w:rsid w:val="00957DF1"/>
    <w:rsid w:val="00966383"/>
    <w:rsid w:val="0097382B"/>
    <w:rsid w:val="009738B3"/>
    <w:rsid w:val="00980827"/>
    <w:rsid w:val="00980D8E"/>
    <w:rsid w:val="00981CB7"/>
    <w:rsid w:val="009850C2"/>
    <w:rsid w:val="00986A8B"/>
    <w:rsid w:val="009A0919"/>
    <w:rsid w:val="009A1130"/>
    <w:rsid w:val="009A2BB3"/>
    <w:rsid w:val="009B0B09"/>
    <w:rsid w:val="009B5ED9"/>
    <w:rsid w:val="009C0295"/>
    <w:rsid w:val="009C4D76"/>
    <w:rsid w:val="009C74D4"/>
    <w:rsid w:val="009D3605"/>
    <w:rsid w:val="009E1EBC"/>
    <w:rsid w:val="009E380C"/>
    <w:rsid w:val="009F15B1"/>
    <w:rsid w:val="009F2576"/>
    <w:rsid w:val="009F29A9"/>
    <w:rsid w:val="009F523A"/>
    <w:rsid w:val="009F6E28"/>
    <w:rsid w:val="00A019AB"/>
    <w:rsid w:val="00A10AD1"/>
    <w:rsid w:val="00A11925"/>
    <w:rsid w:val="00A256F8"/>
    <w:rsid w:val="00A359BF"/>
    <w:rsid w:val="00A36CD6"/>
    <w:rsid w:val="00A3735A"/>
    <w:rsid w:val="00A377DD"/>
    <w:rsid w:val="00A40685"/>
    <w:rsid w:val="00A41437"/>
    <w:rsid w:val="00A443E2"/>
    <w:rsid w:val="00A458AB"/>
    <w:rsid w:val="00A45A67"/>
    <w:rsid w:val="00A45AF3"/>
    <w:rsid w:val="00A46442"/>
    <w:rsid w:val="00A5096A"/>
    <w:rsid w:val="00A531D9"/>
    <w:rsid w:val="00A534E4"/>
    <w:rsid w:val="00A5395E"/>
    <w:rsid w:val="00A54C0E"/>
    <w:rsid w:val="00A57673"/>
    <w:rsid w:val="00A65EAF"/>
    <w:rsid w:val="00A7001B"/>
    <w:rsid w:val="00A72DBD"/>
    <w:rsid w:val="00A87EB5"/>
    <w:rsid w:val="00A9335C"/>
    <w:rsid w:val="00A967CC"/>
    <w:rsid w:val="00A97361"/>
    <w:rsid w:val="00AA12B2"/>
    <w:rsid w:val="00AA52A8"/>
    <w:rsid w:val="00AA6225"/>
    <w:rsid w:val="00AA7EDD"/>
    <w:rsid w:val="00AB244D"/>
    <w:rsid w:val="00AB6145"/>
    <w:rsid w:val="00AC5266"/>
    <w:rsid w:val="00AC643E"/>
    <w:rsid w:val="00AD06B7"/>
    <w:rsid w:val="00AD26EB"/>
    <w:rsid w:val="00AD2874"/>
    <w:rsid w:val="00AD2F6C"/>
    <w:rsid w:val="00AD61CE"/>
    <w:rsid w:val="00AF56D2"/>
    <w:rsid w:val="00B23E5D"/>
    <w:rsid w:val="00B356BF"/>
    <w:rsid w:val="00B36D78"/>
    <w:rsid w:val="00B420EC"/>
    <w:rsid w:val="00B45D42"/>
    <w:rsid w:val="00B637EA"/>
    <w:rsid w:val="00B73E6A"/>
    <w:rsid w:val="00B75C4A"/>
    <w:rsid w:val="00B81344"/>
    <w:rsid w:val="00B85DB5"/>
    <w:rsid w:val="00B86B69"/>
    <w:rsid w:val="00B879A3"/>
    <w:rsid w:val="00B9529A"/>
    <w:rsid w:val="00B96150"/>
    <w:rsid w:val="00B96D10"/>
    <w:rsid w:val="00BA17DC"/>
    <w:rsid w:val="00BA4E9C"/>
    <w:rsid w:val="00BA6190"/>
    <w:rsid w:val="00BB0465"/>
    <w:rsid w:val="00BB22CB"/>
    <w:rsid w:val="00BB3A77"/>
    <w:rsid w:val="00BC0CD5"/>
    <w:rsid w:val="00BC0EF9"/>
    <w:rsid w:val="00BC1564"/>
    <w:rsid w:val="00BC649A"/>
    <w:rsid w:val="00BC76A7"/>
    <w:rsid w:val="00BD14C6"/>
    <w:rsid w:val="00BE0C91"/>
    <w:rsid w:val="00C203E6"/>
    <w:rsid w:val="00C24A0B"/>
    <w:rsid w:val="00C308F3"/>
    <w:rsid w:val="00C33678"/>
    <w:rsid w:val="00C367EF"/>
    <w:rsid w:val="00C40491"/>
    <w:rsid w:val="00C43944"/>
    <w:rsid w:val="00C4627A"/>
    <w:rsid w:val="00C52AF2"/>
    <w:rsid w:val="00C54790"/>
    <w:rsid w:val="00C548DC"/>
    <w:rsid w:val="00C63EDE"/>
    <w:rsid w:val="00C64033"/>
    <w:rsid w:val="00C75FFE"/>
    <w:rsid w:val="00C80A35"/>
    <w:rsid w:val="00C819E0"/>
    <w:rsid w:val="00C82EC5"/>
    <w:rsid w:val="00C839AC"/>
    <w:rsid w:val="00C92091"/>
    <w:rsid w:val="00C95162"/>
    <w:rsid w:val="00C96423"/>
    <w:rsid w:val="00CA1915"/>
    <w:rsid w:val="00CA6F3C"/>
    <w:rsid w:val="00CB31B2"/>
    <w:rsid w:val="00CB53BC"/>
    <w:rsid w:val="00CB7299"/>
    <w:rsid w:val="00CD6908"/>
    <w:rsid w:val="00CE2C68"/>
    <w:rsid w:val="00CE5565"/>
    <w:rsid w:val="00CE58A2"/>
    <w:rsid w:val="00CE7E26"/>
    <w:rsid w:val="00CF0561"/>
    <w:rsid w:val="00CF6F14"/>
    <w:rsid w:val="00CF72E6"/>
    <w:rsid w:val="00CF79C3"/>
    <w:rsid w:val="00D0025C"/>
    <w:rsid w:val="00D00E1C"/>
    <w:rsid w:val="00D0195B"/>
    <w:rsid w:val="00D01C7F"/>
    <w:rsid w:val="00D05C2F"/>
    <w:rsid w:val="00D12E0F"/>
    <w:rsid w:val="00D22A66"/>
    <w:rsid w:val="00D34011"/>
    <w:rsid w:val="00D44844"/>
    <w:rsid w:val="00D46A5B"/>
    <w:rsid w:val="00D47B89"/>
    <w:rsid w:val="00D558D9"/>
    <w:rsid w:val="00D57802"/>
    <w:rsid w:val="00D6027D"/>
    <w:rsid w:val="00D63967"/>
    <w:rsid w:val="00D71762"/>
    <w:rsid w:val="00D7387D"/>
    <w:rsid w:val="00D8304F"/>
    <w:rsid w:val="00D84E67"/>
    <w:rsid w:val="00D90AFD"/>
    <w:rsid w:val="00D92BF8"/>
    <w:rsid w:val="00DA1FAD"/>
    <w:rsid w:val="00DA51A9"/>
    <w:rsid w:val="00DA5E21"/>
    <w:rsid w:val="00DC25E0"/>
    <w:rsid w:val="00DC4196"/>
    <w:rsid w:val="00DC79AD"/>
    <w:rsid w:val="00DE0643"/>
    <w:rsid w:val="00DF0755"/>
    <w:rsid w:val="00DF0DBA"/>
    <w:rsid w:val="00DF6015"/>
    <w:rsid w:val="00E05DA4"/>
    <w:rsid w:val="00E101B8"/>
    <w:rsid w:val="00E136A8"/>
    <w:rsid w:val="00E137C0"/>
    <w:rsid w:val="00E13EAE"/>
    <w:rsid w:val="00E1582E"/>
    <w:rsid w:val="00E16F8D"/>
    <w:rsid w:val="00E250A8"/>
    <w:rsid w:val="00E26E91"/>
    <w:rsid w:val="00E35A1C"/>
    <w:rsid w:val="00E35C8C"/>
    <w:rsid w:val="00E377CF"/>
    <w:rsid w:val="00E46E40"/>
    <w:rsid w:val="00E47004"/>
    <w:rsid w:val="00E477E3"/>
    <w:rsid w:val="00E479A5"/>
    <w:rsid w:val="00E55180"/>
    <w:rsid w:val="00E6086E"/>
    <w:rsid w:val="00E6215C"/>
    <w:rsid w:val="00E62F20"/>
    <w:rsid w:val="00E65CDE"/>
    <w:rsid w:val="00E76D48"/>
    <w:rsid w:val="00E82A60"/>
    <w:rsid w:val="00E82E43"/>
    <w:rsid w:val="00E836B7"/>
    <w:rsid w:val="00E86724"/>
    <w:rsid w:val="00E86EC1"/>
    <w:rsid w:val="00E94277"/>
    <w:rsid w:val="00EA1CA3"/>
    <w:rsid w:val="00EA2927"/>
    <w:rsid w:val="00EA3C9B"/>
    <w:rsid w:val="00EA7725"/>
    <w:rsid w:val="00EB6E2F"/>
    <w:rsid w:val="00EB6EEE"/>
    <w:rsid w:val="00EC1807"/>
    <w:rsid w:val="00EC6BEE"/>
    <w:rsid w:val="00ED2335"/>
    <w:rsid w:val="00ED31AB"/>
    <w:rsid w:val="00ED36B6"/>
    <w:rsid w:val="00ED72F7"/>
    <w:rsid w:val="00EE52B4"/>
    <w:rsid w:val="00EF1272"/>
    <w:rsid w:val="00F165EE"/>
    <w:rsid w:val="00F171F4"/>
    <w:rsid w:val="00F40715"/>
    <w:rsid w:val="00F44583"/>
    <w:rsid w:val="00F4495E"/>
    <w:rsid w:val="00F50910"/>
    <w:rsid w:val="00F5371A"/>
    <w:rsid w:val="00F5775B"/>
    <w:rsid w:val="00F75A67"/>
    <w:rsid w:val="00F81C10"/>
    <w:rsid w:val="00F8357A"/>
    <w:rsid w:val="00F839CE"/>
    <w:rsid w:val="00F91AC7"/>
    <w:rsid w:val="00F92EE4"/>
    <w:rsid w:val="00F93697"/>
    <w:rsid w:val="00FA6CF0"/>
    <w:rsid w:val="00FA7449"/>
    <w:rsid w:val="00FB1C4B"/>
    <w:rsid w:val="00FB7780"/>
    <w:rsid w:val="00FC1E7F"/>
    <w:rsid w:val="00FC278C"/>
    <w:rsid w:val="00FC304E"/>
    <w:rsid w:val="00FC46FF"/>
    <w:rsid w:val="00FC68E1"/>
    <w:rsid w:val="00FC7DF8"/>
    <w:rsid w:val="00FD0C5C"/>
    <w:rsid w:val="00FD0FD7"/>
    <w:rsid w:val="00FD4489"/>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934BA-D9BB-4FD3-8386-618176A5E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6</Pages>
  <Words>2700</Words>
  <Characters>15391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 Wang YP</cp:lastModifiedBy>
  <cp:revision>81</cp:revision>
  <cp:lastPrinted>2017-05-03T20:26:00Z</cp:lastPrinted>
  <dcterms:created xsi:type="dcterms:W3CDTF">2017-04-26T14:08:00Z</dcterms:created>
  <dcterms:modified xsi:type="dcterms:W3CDTF">2017-05-05T17:39:00Z</dcterms:modified>
</cp:coreProperties>
</file>